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3E0626" w:rsidP="00FE034B">
      <w:pPr>
        <w:tabs>
          <w:tab w:val="right" w:pos="9638"/>
        </w:tabs>
        <w:jc w:val="right"/>
        <w:rPr>
          <w:rFonts w:cs="Arial"/>
          <w:noProof/>
        </w:rPr>
      </w:pPr>
      <w:bookmarkStart w:id="0" w:name="_GoBack"/>
      <w:bookmarkEnd w:id="0"/>
      <w:r>
        <w:rPr>
          <w:noProof/>
        </w:rPr>
        <w:drawing>
          <wp:inline distT="0" distB="0" distL="0" distR="0">
            <wp:extent cx="2476500" cy="695325"/>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5416FF" w:rsidP="00C901EA">
            <w:pPr>
              <w:spacing w:before="60" w:after="60"/>
              <w:rPr>
                <w:rFonts w:ascii="Arial" w:hAnsi="Arial" w:cs="Arial"/>
              </w:rPr>
            </w:pPr>
            <w:r>
              <w:rPr>
                <w:rFonts w:ascii="Arial" w:hAnsi="Arial" w:cs="Arial"/>
              </w:rPr>
              <w:t>Health and Wellbeing</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C843C7" w:rsidP="00C901EA">
            <w:pPr>
              <w:spacing w:before="60" w:after="60"/>
              <w:rPr>
                <w:rFonts w:ascii="Arial" w:hAnsi="Arial" w:cs="Arial"/>
              </w:rPr>
            </w:pPr>
            <w:r>
              <w:rPr>
                <w:rFonts w:ascii="Arial" w:hAnsi="Arial" w:cs="Arial"/>
              </w:rPr>
              <w:t>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5416FF" w:rsidP="00C901EA">
            <w:pPr>
              <w:spacing w:before="60" w:after="60"/>
              <w:rPr>
                <w:rFonts w:ascii="Arial" w:hAnsi="Arial" w:cs="Arial"/>
              </w:rPr>
            </w:pPr>
            <w:r>
              <w:rPr>
                <w:rFonts w:ascii="Arial" w:hAnsi="Arial" w:cs="Arial"/>
              </w:rPr>
              <w:t>Imran Rathore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404F62" w:rsidP="00404F62">
            <w:pPr>
              <w:spacing w:before="60" w:after="60"/>
              <w:rPr>
                <w:rFonts w:ascii="Arial" w:hAnsi="Arial" w:cs="Arial"/>
              </w:rPr>
            </w:pPr>
            <w:r>
              <w:rPr>
                <w:rFonts w:ascii="Arial" w:hAnsi="Arial" w:cs="Arial"/>
              </w:rPr>
              <w:t>06.01.22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2876D2" w:rsidP="00C901EA">
            <w:pPr>
              <w:spacing w:before="60" w:after="60"/>
              <w:rPr>
                <w:rFonts w:ascii="Arial" w:hAnsi="Arial" w:cs="Arial"/>
              </w:rPr>
            </w:pPr>
            <w:r>
              <w:rPr>
                <w:rFonts w:ascii="Arial" w:hAnsi="Arial" w:cs="Arial"/>
              </w:rPr>
              <w:t>Iain MacB</w:t>
            </w:r>
            <w:r w:rsidR="00765BAD">
              <w:rPr>
                <w:rFonts w:ascii="Arial" w:hAnsi="Arial" w:cs="Arial"/>
              </w:rPr>
              <w:t>ea</w:t>
            </w:r>
            <w:r w:rsidR="005416FF">
              <w:rPr>
                <w:rFonts w:ascii="Arial" w:hAnsi="Arial" w:cs="Arial"/>
              </w:rPr>
              <w:t>th</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404F62" w:rsidP="00C901EA">
            <w:pPr>
              <w:spacing w:before="60" w:after="60"/>
              <w:rPr>
                <w:rFonts w:ascii="Arial" w:hAnsi="Arial" w:cs="Arial"/>
              </w:rPr>
            </w:pPr>
            <w:r>
              <w:rPr>
                <w:rFonts w:ascii="Arial" w:hAnsi="Arial" w:cs="Arial"/>
              </w:rPr>
              <w:t>06.01.22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0B4884" w:rsidP="00C901EA">
            <w:pPr>
              <w:spacing w:before="60" w:after="60"/>
              <w:rPr>
                <w:rFonts w:ascii="Arial" w:hAnsi="Arial" w:cs="Arial"/>
              </w:rPr>
            </w:pPr>
            <w:r>
              <w:rPr>
                <w:rFonts w:ascii="Arial" w:hAnsi="Arial" w:cs="Arial"/>
              </w:rPr>
              <w:t>Iain MacBea</w:t>
            </w:r>
            <w:r w:rsidR="005416FF">
              <w:rPr>
                <w:rFonts w:ascii="Arial" w:hAnsi="Arial" w:cs="Arial"/>
              </w:rPr>
              <w:t>th</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404F62" w:rsidP="00C901EA">
            <w:pPr>
              <w:spacing w:before="60" w:after="60"/>
              <w:rPr>
                <w:rFonts w:ascii="Arial" w:hAnsi="Arial" w:cs="Arial"/>
              </w:rPr>
            </w:pPr>
            <w:r>
              <w:rPr>
                <w:rFonts w:ascii="Arial" w:hAnsi="Arial" w:cs="Arial"/>
              </w:rPr>
              <w:t>06.01.22</w:t>
            </w:r>
          </w:p>
        </w:tc>
      </w:tr>
    </w:tbl>
    <w:p w:rsidR="00C1127B" w:rsidRDefault="00C1127B">
      <w:pPr>
        <w:rPr>
          <w:rFonts w:ascii="Arial" w:hAnsi="Arial" w:cs="Arial"/>
        </w:rPr>
      </w:pPr>
    </w:p>
    <w:p w:rsidR="00C1127B" w:rsidRDefault="003E0626">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CA4A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 xml:space="preserve">Name of </w:t>
      </w:r>
      <w:r w:rsidR="004F429F">
        <w:rPr>
          <w:rFonts w:ascii="Arial" w:hAnsi="Arial" w:cs="Arial"/>
          <w:b/>
          <w:color w:val="000080"/>
        </w:rPr>
        <w:t xml:space="preserve">the </w:t>
      </w:r>
      <w:r>
        <w:rPr>
          <w:rFonts w:ascii="Arial" w:hAnsi="Arial" w:cs="Arial"/>
          <w:b/>
          <w:color w:val="000080"/>
        </w:rPr>
        <w:t>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1B5907" w:rsidRPr="005416FF" w:rsidRDefault="001A642F" w:rsidP="005416FF">
      <w:pPr>
        <w:ind w:left="720"/>
        <w:rPr>
          <w:rFonts w:ascii="Arial" w:eastAsia="Calibri" w:hAnsi="Arial" w:cs="Arial"/>
          <w:color w:val="FF0000"/>
        </w:rPr>
      </w:pPr>
      <w:r>
        <w:rPr>
          <w:rFonts w:ascii="Arial" w:eastAsia="Calibri" w:hAnsi="Arial" w:cs="Arial"/>
          <w:color w:val="FF0000"/>
        </w:rPr>
        <w:t xml:space="preserve">£3m of additional funding to help support </w:t>
      </w:r>
      <w:r w:rsidR="005416FF" w:rsidRPr="005416FF">
        <w:rPr>
          <w:rFonts w:ascii="Arial" w:eastAsia="Calibri" w:hAnsi="Arial" w:cs="Arial"/>
          <w:color w:val="FF0000"/>
        </w:rPr>
        <w:t xml:space="preserve">demand pressures </w:t>
      </w:r>
      <w:r>
        <w:rPr>
          <w:rFonts w:ascii="Arial" w:eastAsia="Calibri" w:hAnsi="Arial" w:cs="Arial"/>
          <w:color w:val="FF0000"/>
        </w:rPr>
        <w:t xml:space="preserve">across Adult Social Care and also mitigate against the delays to the delivery of Adult Social Care demand management savings. </w:t>
      </w: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C44B26" w:rsidRDefault="00C44B26" w:rsidP="00C44B26">
      <w:pPr>
        <w:spacing w:before="120" w:after="120"/>
        <w:ind w:left="709"/>
        <w:rPr>
          <w:rFonts w:ascii="Arial" w:eastAsia="Calibri" w:hAnsi="Arial" w:cs="Arial"/>
        </w:rPr>
      </w:pPr>
    </w:p>
    <w:p w:rsidR="004F429F" w:rsidRPr="004F429F" w:rsidRDefault="00F60B2D" w:rsidP="004F429F">
      <w:pPr>
        <w:rPr>
          <w:rFonts w:ascii="Arial" w:hAnsi="Arial" w:cs="Arial"/>
          <w:b/>
          <w:color w:val="000080"/>
        </w:rPr>
      </w:pPr>
      <w:r w:rsidRPr="00F60B2D">
        <w:rPr>
          <w:rFonts w:ascii="Arial" w:hAnsi="Arial" w:cs="Arial"/>
          <w:b/>
          <w:color w:val="000080"/>
        </w:rPr>
        <w:t>1.2</w:t>
      </w:r>
      <w:r w:rsidR="002C50F7" w:rsidRPr="00F60B2D">
        <w:rPr>
          <w:rFonts w:ascii="Arial" w:hAnsi="Arial" w:cs="Arial"/>
          <w:b/>
          <w:color w:val="000080"/>
        </w:rPr>
        <w:t>a</w:t>
      </w:r>
      <w:r w:rsidRPr="00F60B2D">
        <w:rPr>
          <w:rFonts w:ascii="Arial" w:hAnsi="Arial" w:cs="Arial"/>
          <w:b/>
          <w:color w:val="000080"/>
        </w:rPr>
        <w:tab/>
      </w:r>
      <w:r w:rsidR="004F429F" w:rsidRPr="004F429F">
        <w:rPr>
          <w:rFonts w:ascii="Arial" w:hAnsi="Arial" w:cs="Arial"/>
          <w:b/>
          <w:color w:val="000080"/>
        </w:rPr>
        <w:t>Proposal</w:t>
      </w:r>
    </w:p>
    <w:p w:rsidR="004F429F" w:rsidRPr="004F429F" w:rsidRDefault="004F429F" w:rsidP="004F429F">
      <w:pPr>
        <w:spacing w:before="120" w:after="120"/>
        <w:ind w:left="709"/>
        <w:rPr>
          <w:rFonts w:ascii="Arial" w:hAnsi="Arial" w:cs="Arial"/>
        </w:rPr>
      </w:pPr>
      <w:r w:rsidRPr="004F429F">
        <w:rPr>
          <w:rFonts w:ascii="Arial" w:hAnsi="Arial" w:cs="Arial"/>
        </w:rPr>
        <w:t>It is proposed that an additional £3m funding will be invested in Adult Social Care, with a specific focus on supporting the Learning Disabilities service to mitigate challenges and pressures, and associated demand management budget-saving targets assigned to the service</w:t>
      </w:r>
      <w:r w:rsidR="00E42B63">
        <w:rPr>
          <w:rFonts w:ascii="Arial" w:hAnsi="Arial" w:cs="Arial"/>
        </w:rPr>
        <w:t>.</w:t>
      </w:r>
    </w:p>
    <w:p w:rsidR="004F429F" w:rsidRDefault="004F429F" w:rsidP="00F60B2D">
      <w:pPr>
        <w:rPr>
          <w:rFonts w:ascii="Arial" w:hAnsi="Arial" w:cs="Arial"/>
          <w:b/>
          <w:color w:val="000080"/>
        </w:rPr>
      </w:pPr>
    </w:p>
    <w:p w:rsidR="00CF0AAD" w:rsidRPr="00F60B2D" w:rsidRDefault="004F429F" w:rsidP="00F60B2D">
      <w:pPr>
        <w:rPr>
          <w:rFonts w:ascii="Arial" w:hAnsi="Arial" w:cs="Arial"/>
          <w:b/>
        </w:rPr>
      </w:pPr>
      <w:r w:rsidRPr="004F429F">
        <w:rPr>
          <w:rFonts w:ascii="Arial" w:hAnsi="Arial" w:cs="Arial"/>
          <w:b/>
          <w:color w:val="000080"/>
        </w:rPr>
        <w:t>1.2b</w:t>
      </w:r>
      <w:r w:rsidRPr="004F429F">
        <w:rPr>
          <w:rFonts w:ascii="Arial" w:hAnsi="Arial" w:cs="Arial"/>
          <w:b/>
          <w:color w:val="000080"/>
        </w:rPr>
        <w:tab/>
      </w:r>
      <w:r w:rsidR="00D17E10" w:rsidRPr="00D17E10">
        <w:rPr>
          <w:rFonts w:ascii="Arial" w:hAnsi="Arial" w:cs="Arial"/>
          <w:b/>
          <w:color w:val="000080"/>
          <w:u w:val="single"/>
        </w:rPr>
        <w:t>Background</w:t>
      </w:r>
      <w:r>
        <w:rPr>
          <w:rFonts w:ascii="Arial" w:hAnsi="Arial" w:cs="Arial"/>
          <w:b/>
          <w:color w:val="000080"/>
          <w:u w:val="single"/>
        </w:rPr>
        <w:t>/context</w:t>
      </w:r>
    </w:p>
    <w:p w:rsidR="00CF0AAD" w:rsidRDefault="00CF0AAD" w:rsidP="00CF0AAD">
      <w:pPr>
        <w:spacing w:before="120" w:after="120"/>
        <w:ind w:left="709"/>
        <w:rPr>
          <w:rFonts w:ascii="Arial" w:hAnsi="Arial" w:cs="Arial"/>
        </w:rPr>
      </w:pPr>
      <w:r w:rsidRPr="00F22011">
        <w:rPr>
          <w:rFonts w:ascii="Arial" w:hAnsi="Arial" w:cs="Arial"/>
        </w:rPr>
        <w:t>The latest stat</w:t>
      </w:r>
      <w:r>
        <w:rPr>
          <w:rFonts w:ascii="Arial" w:hAnsi="Arial" w:cs="Arial"/>
        </w:rPr>
        <w:t>istic</w:t>
      </w:r>
      <w:r w:rsidRPr="00F22011">
        <w:rPr>
          <w:rFonts w:ascii="Arial" w:hAnsi="Arial" w:cs="Arial"/>
        </w:rPr>
        <w:t xml:space="preserve">s from Projecting Older People Population Information (POPPI) and Projecting Adult Needs and Service Information (PANSI) </w:t>
      </w:r>
      <w:r>
        <w:rPr>
          <w:rFonts w:ascii="Arial" w:hAnsi="Arial" w:cs="Arial"/>
        </w:rPr>
        <w:t>project</w:t>
      </w:r>
      <w:r w:rsidRPr="00F22011">
        <w:rPr>
          <w:rFonts w:ascii="Arial" w:hAnsi="Arial" w:cs="Arial"/>
        </w:rPr>
        <w:t xml:space="preserve"> a 2% yearly increase in the number of service users up to 2030. </w:t>
      </w:r>
      <w:r w:rsidR="00A4373C">
        <w:rPr>
          <w:rFonts w:ascii="Arial" w:hAnsi="Arial" w:cs="Arial"/>
        </w:rPr>
        <w:t xml:space="preserve"> </w:t>
      </w:r>
    </w:p>
    <w:p w:rsidR="00CF0AAD" w:rsidRDefault="00CF0AAD" w:rsidP="004F429F">
      <w:pPr>
        <w:spacing w:before="120" w:after="120"/>
        <w:ind w:left="709"/>
        <w:jc w:val="right"/>
        <w:rPr>
          <w:rFonts w:ascii="Arial" w:hAnsi="Arial" w:cs="Arial"/>
        </w:rPr>
      </w:pPr>
    </w:p>
    <w:p w:rsidR="00CF0AAD" w:rsidRDefault="00CF0AAD" w:rsidP="00CF0AAD">
      <w:pPr>
        <w:spacing w:before="120" w:after="120"/>
        <w:ind w:left="709"/>
        <w:rPr>
          <w:rFonts w:ascii="Arial" w:eastAsia="Calibri" w:hAnsi="Arial" w:cs="Arial"/>
        </w:rPr>
      </w:pPr>
      <w:r>
        <w:rPr>
          <w:rFonts w:ascii="Arial" w:eastAsia="Calibri" w:hAnsi="Arial" w:cs="Arial"/>
        </w:rPr>
        <w:lastRenderedPageBreak/>
        <w:t xml:space="preserve">In addition to this demographic growth, the service is also facing pressures from other challenges which </w:t>
      </w:r>
      <w:r w:rsidR="002C50F7">
        <w:rPr>
          <w:rFonts w:ascii="Arial" w:eastAsia="Calibri" w:hAnsi="Arial" w:cs="Arial"/>
        </w:rPr>
        <w:t>impact our ability to deliver savings within budgetary limits and saving targets – these include:</w:t>
      </w:r>
    </w:p>
    <w:p w:rsidR="0027749A" w:rsidRPr="0027749A" w:rsidRDefault="0027749A" w:rsidP="0027749A">
      <w:pPr>
        <w:numPr>
          <w:ilvl w:val="0"/>
          <w:numId w:val="24"/>
        </w:numPr>
        <w:spacing w:before="120" w:after="120"/>
        <w:ind w:left="1418" w:hanging="278"/>
        <w:rPr>
          <w:rFonts w:ascii="Arial" w:eastAsia="Calibri" w:hAnsi="Arial" w:cs="Arial"/>
        </w:rPr>
      </w:pPr>
      <w:r>
        <w:rPr>
          <w:rFonts w:ascii="Arial" w:eastAsia="Calibri" w:hAnsi="Arial" w:cs="Arial"/>
        </w:rPr>
        <w:t>Ensuring both funding and resource are sufficient to meet</w:t>
      </w:r>
      <w:r w:rsidRPr="00FE3609">
        <w:rPr>
          <w:rFonts w:ascii="Arial" w:eastAsia="Calibri" w:hAnsi="Arial" w:cs="Arial"/>
        </w:rPr>
        <w:t xml:space="preserve"> our statutory duties to provide good quality of care,</w:t>
      </w:r>
      <w:r>
        <w:rPr>
          <w:rFonts w:ascii="Arial" w:eastAsia="Calibri" w:hAnsi="Arial" w:cs="Arial"/>
        </w:rPr>
        <w:t xml:space="preserve"> and </w:t>
      </w:r>
      <w:r>
        <w:rPr>
          <w:rFonts w:ascii="Arial" w:hAnsi="Arial" w:cs="Arial"/>
        </w:rPr>
        <w:t xml:space="preserve">offer choice and control. </w:t>
      </w:r>
      <w:r w:rsidRPr="0027749A">
        <w:rPr>
          <w:rFonts w:ascii="Arial" w:hAnsi="Arial" w:cs="Arial"/>
        </w:rPr>
        <w:t>According to national benchmarking data from the LGA:</w:t>
      </w:r>
    </w:p>
    <w:p w:rsidR="0027749A" w:rsidRPr="0027749A" w:rsidRDefault="0027749A" w:rsidP="0027749A">
      <w:pPr>
        <w:numPr>
          <w:ilvl w:val="1"/>
          <w:numId w:val="24"/>
        </w:numPr>
        <w:spacing w:before="120" w:after="120"/>
        <w:ind w:left="1843"/>
        <w:rPr>
          <w:rFonts w:ascii="Arial" w:eastAsia="Calibri" w:hAnsi="Arial" w:cs="Arial"/>
          <w:i/>
        </w:rPr>
      </w:pPr>
      <w:r>
        <w:rPr>
          <w:rFonts w:ascii="Arial" w:hAnsi="Arial" w:cs="Arial"/>
          <w:i/>
        </w:rPr>
        <w:t>T</w:t>
      </w:r>
      <w:r w:rsidRPr="0027749A">
        <w:rPr>
          <w:rFonts w:ascii="Arial" w:hAnsi="Arial" w:cs="Arial"/>
          <w:i/>
        </w:rPr>
        <w:t xml:space="preserve">he care purchasing budget for people with learning disabilities in Bradford was ranked 132nd out of 151 spending councils on younger people’s care, per adult population for 2019/20. </w:t>
      </w:r>
    </w:p>
    <w:p w:rsidR="0027749A" w:rsidRPr="0027749A" w:rsidRDefault="0027749A" w:rsidP="0027749A">
      <w:pPr>
        <w:numPr>
          <w:ilvl w:val="1"/>
          <w:numId w:val="24"/>
        </w:numPr>
        <w:spacing w:before="120" w:after="120"/>
        <w:ind w:left="1843"/>
        <w:rPr>
          <w:rFonts w:ascii="Arial" w:eastAsia="Calibri" w:hAnsi="Arial" w:cs="Arial"/>
          <w:i/>
        </w:rPr>
      </w:pPr>
      <w:r w:rsidRPr="0027749A">
        <w:rPr>
          <w:rFonts w:ascii="Arial" w:hAnsi="Arial" w:cs="Arial"/>
          <w:i/>
        </w:rPr>
        <w:t>Bradford is the 127th lowest spender on long-term care services for people with LD (bottom quartile)</w:t>
      </w:r>
      <w:r>
        <w:rPr>
          <w:rFonts w:ascii="Arial" w:hAnsi="Arial" w:cs="Arial"/>
          <w:i/>
        </w:rPr>
        <w:t>.</w:t>
      </w:r>
    </w:p>
    <w:p w:rsidR="0027749A" w:rsidRPr="0027749A" w:rsidRDefault="0027749A" w:rsidP="0027749A">
      <w:pPr>
        <w:numPr>
          <w:ilvl w:val="1"/>
          <w:numId w:val="24"/>
        </w:numPr>
        <w:spacing w:before="120" w:after="120"/>
        <w:ind w:left="1843"/>
        <w:rPr>
          <w:rFonts w:ascii="Arial" w:eastAsia="Calibri" w:hAnsi="Arial" w:cs="Arial"/>
          <w:i/>
        </w:rPr>
      </w:pPr>
      <w:r>
        <w:rPr>
          <w:rFonts w:ascii="Arial" w:hAnsi="Arial" w:cs="Arial"/>
          <w:i/>
        </w:rPr>
        <w:t xml:space="preserve">Bradford is </w:t>
      </w:r>
      <w:r w:rsidRPr="0027749A">
        <w:rPr>
          <w:rFonts w:ascii="Arial" w:hAnsi="Arial" w:cs="Arial"/>
          <w:i/>
        </w:rPr>
        <w:t xml:space="preserve">35th best spender on short-term preventative services (top quartile). </w:t>
      </w:r>
    </w:p>
    <w:p w:rsidR="0027749A" w:rsidRPr="0027749A" w:rsidRDefault="0027749A" w:rsidP="0027749A">
      <w:pPr>
        <w:numPr>
          <w:ilvl w:val="1"/>
          <w:numId w:val="24"/>
        </w:numPr>
        <w:spacing w:before="120" w:after="120"/>
        <w:ind w:left="1843"/>
        <w:rPr>
          <w:rFonts w:ascii="Arial" w:eastAsia="Calibri" w:hAnsi="Arial" w:cs="Arial"/>
          <w:i/>
        </w:rPr>
      </w:pPr>
      <w:r>
        <w:rPr>
          <w:rFonts w:ascii="Arial" w:hAnsi="Arial" w:cs="Arial"/>
          <w:i/>
        </w:rPr>
        <w:t>T</w:t>
      </w:r>
      <w:r w:rsidRPr="0027749A">
        <w:rPr>
          <w:rFonts w:ascii="Arial" w:hAnsi="Arial" w:cs="Arial"/>
          <w:i/>
        </w:rPr>
        <w:t>here are a high number of people living at home with parents compared to similar authorities</w:t>
      </w:r>
    </w:p>
    <w:p w:rsidR="0027749A" w:rsidRPr="0027749A" w:rsidRDefault="0027749A" w:rsidP="0027749A">
      <w:pPr>
        <w:numPr>
          <w:ilvl w:val="1"/>
          <w:numId w:val="24"/>
        </w:numPr>
        <w:spacing w:before="120" w:after="120"/>
        <w:ind w:left="1843"/>
        <w:rPr>
          <w:rFonts w:ascii="Arial" w:eastAsia="Calibri" w:hAnsi="Arial" w:cs="Arial"/>
          <w:i/>
        </w:rPr>
      </w:pPr>
      <w:r>
        <w:rPr>
          <w:rFonts w:ascii="Arial" w:hAnsi="Arial" w:cs="Arial"/>
          <w:i/>
        </w:rPr>
        <w:t>The above points indicate</w:t>
      </w:r>
      <w:r w:rsidRPr="0027749A">
        <w:rPr>
          <w:rFonts w:ascii="Arial" w:hAnsi="Arial" w:cs="Arial"/>
          <w:i/>
        </w:rPr>
        <w:t xml:space="preserve"> a generally low investment profile for this client group, and there is therefore a risk that when scrutinised </w:t>
      </w:r>
    </w:p>
    <w:p w:rsidR="00CF0AAD" w:rsidRPr="00A4373C" w:rsidRDefault="00CF0AAD" w:rsidP="001A5BC3">
      <w:pPr>
        <w:numPr>
          <w:ilvl w:val="0"/>
          <w:numId w:val="24"/>
        </w:numPr>
        <w:spacing w:before="120" w:after="120"/>
        <w:ind w:left="1418" w:hanging="278"/>
        <w:rPr>
          <w:rFonts w:ascii="Arial" w:eastAsia="Calibri" w:hAnsi="Arial" w:cs="Arial"/>
        </w:rPr>
      </w:pPr>
      <w:r w:rsidRPr="00A4373C">
        <w:rPr>
          <w:rFonts w:ascii="Arial" w:eastAsia="Calibri" w:hAnsi="Arial" w:cs="Arial"/>
        </w:rPr>
        <w:t>Meeting</w:t>
      </w:r>
      <w:r w:rsidR="004F429F">
        <w:rPr>
          <w:rFonts w:ascii="Arial" w:eastAsia="Calibri" w:hAnsi="Arial" w:cs="Arial"/>
        </w:rPr>
        <w:t xml:space="preserve"> more</w:t>
      </w:r>
      <w:r w:rsidRPr="00A4373C">
        <w:rPr>
          <w:rFonts w:ascii="Arial" w:eastAsia="Calibri" w:hAnsi="Arial" w:cs="Arial"/>
        </w:rPr>
        <w:t xml:space="preserve"> </w:t>
      </w:r>
      <w:r w:rsidR="004F429F">
        <w:rPr>
          <w:rFonts w:ascii="Arial" w:eastAsia="Calibri" w:hAnsi="Arial" w:cs="Arial"/>
        </w:rPr>
        <w:t>complex and greater levels of support needs.</w:t>
      </w:r>
    </w:p>
    <w:p w:rsidR="00CF0AAD" w:rsidRDefault="00CF0AAD" w:rsidP="00CF0AAD">
      <w:pPr>
        <w:numPr>
          <w:ilvl w:val="0"/>
          <w:numId w:val="24"/>
        </w:numPr>
        <w:spacing w:before="120" w:after="120"/>
        <w:ind w:left="1418" w:hanging="278"/>
        <w:rPr>
          <w:rFonts w:ascii="Arial" w:eastAsia="Calibri" w:hAnsi="Arial" w:cs="Arial"/>
        </w:rPr>
      </w:pPr>
      <w:r>
        <w:rPr>
          <w:rFonts w:ascii="Arial" w:eastAsia="Calibri" w:hAnsi="Arial" w:cs="Arial"/>
        </w:rPr>
        <w:t>I</w:t>
      </w:r>
      <w:r w:rsidRPr="000672E5">
        <w:rPr>
          <w:rFonts w:ascii="Arial" w:eastAsia="Calibri" w:hAnsi="Arial" w:cs="Arial"/>
        </w:rPr>
        <w:t>ncreasing cost of care packages.</w:t>
      </w:r>
    </w:p>
    <w:p w:rsidR="00CF0AAD" w:rsidRDefault="00CF0AAD" w:rsidP="00CF0AAD">
      <w:pPr>
        <w:numPr>
          <w:ilvl w:val="0"/>
          <w:numId w:val="24"/>
        </w:numPr>
        <w:spacing w:before="120" w:after="120"/>
        <w:ind w:left="1418" w:hanging="278"/>
        <w:rPr>
          <w:rFonts w:ascii="Arial" w:eastAsia="Calibri" w:hAnsi="Arial" w:cs="Arial"/>
        </w:rPr>
      </w:pPr>
      <w:r>
        <w:rPr>
          <w:rFonts w:ascii="Arial" w:eastAsia="Calibri" w:hAnsi="Arial" w:cs="Arial"/>
        </w:rPr>
        <w:t>Unstable independent care market</w:t>
      </w:r>
      <w:r w:rsidR="00A4373C">
        <w:rPr>
          <w:rFonts w:ascii="Arial" w:eastAsia="Calibri" w:hAnsi="Arial" w:cs="Arial"/>
        </w:rPr>
        <w:t>.</w:t>
      </w:r>
    </w:p>
    <w:p w:rsidR="00CF0AAD" w:rsidRDefault="00CF0AAD" w:rsidP="00CF0AAD">
      <w:pPr>
        <w:numPr>
          <w:ilvl w:val="0"/>
          <w:numId w:val="24"/>
        </w:numPr>
        <w:spacing w:before="120" w:after="120"/>
        <w:ind w:left="1418" w:hanging="278"/>
        <w:rPr>
          <w:rFonts w:ascii="Arial" w:eastAsia="Calibri" w:hAnsi="Arial" w:cs="Arial"/>
        </w:rPr>
      </w:pPr>
      <w:r>
        <w:rPr>
          <w:rFonts w:ascii="Arial" w:eastAsia="Calibri" w:hAnsi="Arial" w:cs="Arial"/>
        </w:rPr>
        <w:t xml:space="preserve">Additional demand arising from Covid related hospital discharge and long Covid support needs for those who already have </w:t>
      </w:r>
      <w:r w:rsidR="004F429F">
        <w:rPr>
          <w:rFonts w:ascii="Arial" w:eastAsia="Calibri" w:hAnsi="Arial" w:cs="Arial"/>
        </w:rPr>
        <w:t>significant</w:t>
      </w:r>
      <w:r>
        <w:rPr>
          <w:rFonts w:ascii="Arial" w:eastAsia="Calibri" w:hAnsi="Arial" w:cs="Arial"/>
        </w:rPr>
        <w:t xml:space="preserve"> health and social care support requirements.</w:t>
      </w:r>
    </w:p>
    <w:p w:rsidR="0038051D" w:rsidRDefault="00CF0AAD" w:rsidP="0038051D">
      <w:pPr>
        <w:numPr>
          <w:ilvl w:val="0"/>
          <w:numId w:val="24"/>
        </w:numPr>
        <w:spacing w:before="120" w:after="120"/>
        <w:ind w:left="1418" w:hanging="278"/>
        <w:rPr>
          <w:rFonts w:ascii="Arial" w:eastAsia="Calibri" w:hAnsi="Arial" w:cs="Arial"/>
        </w:rPr>
      </w:pPr>
      <w:r>
        <w:rPr>
          <w:rFonts w:ascii="Arial" w:eastAsia="Calibri" w:hAnsi="Arial" w:cs="Arial"/>
        </w:rPr>
        <w:t>R</w:t>
      </w:r>
      <w:r w:rsidRPr="002E3BC8">
        <w:rPr>
          <w:rFonts w:ascii="Arial" w:eastAsia="Calibri" w:hAnsi="Arial" w:cs="Arial"/>
        </w:rPr>
        <w:t xml:space="preserve">ecruit and </w:t>
      </w:r>
      <w:r>
        <w:rPr>
          <w:rFonts w:ascii="Arial" w:eastAsia="Calibri" w:hAnsi="Arial" w:cs="Arial"/>
        </w:rPr>
        <w:t xml:space="preserve">retain a skilled and caring workforce to meet existing and potential spikes in demand. </w:t>
      </w:r>
    </w:p>
    <w:p w:rsidR="0038051D" w:rsidRDefault="0038051D" w:rsidP="00863F32">
      <w:pPr>
        <w:spacing w:before="120" w:after="120"/>
        <w:ind w:left="720"/>
        <w:rPr>
          <w:rFonts w:ascii="Arial" w:hAnsi="Arial" w:cs="Arial"/>
        </w:rPr>
      </w:pPr>
    </w:p>
    <w:p w:rsidR="0038051D" w:rsidRDefault="0038051D" w:rsidP="00863F32">
      <w:pPr>
        <w:spacing w:before="120" w:after="120"/>
        <w:ind w:left="720"/>
        <w:rPr>
          <w:rFonts w:ascii="Arial" w:hAnsi="Arial" w:cs="Arial"/>
        </w:rPr>
      </w:pPr>
    </w:p>
    <w:p w:rsidR="009E0C93" w:rsidRPr="00F60B2D" w:rsidRDefault="009E0C93" w:rsidP="009E0C93">
      <w:pPr>
        <w:rPr>
          <w:rFonts w:ascii="Arial" w:hAnsi="Arial" w:cs="Arial"/>
          <w:b/>
          <w:color w:val="000080"/>
        </w:rPr>
      </w:pPr>
      <w:r>
        <w:rPr>
          <w:rFonts w:ascii="Arial" w:hAnsi="Arial" w:cs="Arial"/>
          <w:b/>
          <w:color w:val="000080"/>
        </w:rPr>
        <w:t>1.2c</w:t>
      </w:r>
      <w:r>
        <w:rPr>
          <w:rFonts w:ascii="Arial" w:hAnsi="Arial" w:cs="Arial"/>
          <w:b/>
          <w:color w:val="000080"/>
        </w:rPr>
        <w:tab/>
      </w:r>
      <w:r>
        <w:rPr>
          <w:rFonts w:ascii="Arial" w:hAnsi="Arial" w:cs="Arial"/>
          <w:b/>
          <w:color w:val="000080"/>
          <w:u w:val="single"/>
        </w:rPr>
        <w:t>Approach</w:t>
      </w:r>
    </w:p>
    <w:p w:rsidR="003B47B0" w:rsidRDefault="00E37BF6" w:rsidP="00863F32">
      <w:pPr>
        <w:spacing w:before="120" w:after="120"/>
        <w:ind w:left="720"/>
        <w:rPr>
          <w:rFonts w:ascii="Arial" w:hAnsi="Arial" w:cs="Arial"/>
        </w:rPr>
      </w:pPr>
      <w:r w:rsidRPr="00E37BF6">
        <w:rPr>
          <w:rFonts w:ascii="Arial" w:hAnsi="Arial" w:cs="Arial"/>
        </w:rPr>
        <w:t xml:space="preserve">The </w:t>
      </w:r>
      <w:r w:rsidR="004F429F">
        <w:rPr>
          <w:rFonts w:ascii="Arial" w:hAnsi="Arial" w:cs="Arial"/>
        </w:rPr>
        <w:t>learning disabilities service has made good progress i</w:t>
      </w:r>
      <w:r w:rsidRPr="00E37BF6">
        <w:rPr>
          <w:rFonts w:ascii="Arial" w:hAnsi="Arial" w:cs="Arial"/>
        </w:rPr>
        <w:t>n managing and reducing demand</w:t>
      </w:r>
      <w:r w:rsidR="00E42B63">
        <w:rPr>
          <w:rFonts w:ascii="Arial" w:hAnsi="Arial" w:cs="Arial"/>
        </w:rPr>
        <w:t xml:space="preserve"> while securing positive outcomes for the people we support</w:t>
      </w:r>
      <w:r w:rsidRPr="00E37BF6">
        <w:rPr>
          <w:rFonts w:ascii="Arial" w:hAnsi="Arial" w:cs="Arial"/>
        </w:rPr>
        <w:t>. For example</w:t>
      </w:r>
      <w:r w:rsidR="003B47B0">
        <w:rPr>
          <w:rFonts w:ascii="Arial" w:hAnsi="Arial" w:cs="Arial"/>
        </w:rPr>
        <w:t>;</w:t>
      </w:r>
    </w:p>
    <w:p w:rsidR="003B47B0" w:rsidRDefault="00E37BF6" w:rsidP="003B47B0">
      <w:pPr>
        <w:numPr>
          <w:ilvl w:val="0"/>
          <w:numId w:val="32"/>
        </w:numPr>
        <w:spacing w:before="120" w:after="120"/>
        <w:rPr>
          <w:rFonts w:ascii="Arial" w:hAnsi="Arial" w:cs="Arial"/>
        </w:rPr>
      </w:pPr>
      <w:r w:rsidRPr="00E37BF6">
        <w:rPr>
          <w:rFonts w:ascii="Arial" w:hAnsi="Arial" w:cs="Arial"/>
        </w:rPr>
        <w:t xml:space="preserve">through </w:t>
      </w:r>
      <w:r w:rsidR="004F429F">
        <w:rPr>
          <w:rFonts w:ascii="Arial" w:hAnsi="Arial" w:cs="Arial"/>
        </w:rPr>
        <w:t>collaborative</w:t>
      </w:r>
      <w:r w:rsidRPr="00E37BF6">
        <w:rPr>
          <w:rFonts w:ascii="Arial" w:hAnsi="Arial" w:cs="Arial"/>
        </w:rPr>
        <w:t xml:space="preserve"> and </w:t>
      </w:r>
      <w:r w:rsidR="004F429F">
        <w:rPr>
          <w:rFonts w:ascii="Arial" w:hAnsi="Arial" w:cs="Arial"/>
        </w:rPr>
        <w:t>strength-based</w:t>
      </w:r>
      <w:r w:rsidRPr="00E37BF6">
        <w:rPr>
          <w:rFonts w:ascii="Arial" w:hAnsi="Arial" w:cs="Arial"/>
        </w:rPr>
        <w:t xml:space="preserve"> discussions with the person (and where required Carer and or advocate) the service has been able to reduce the numbers of people living in expensive and low-indepe</w:t>
      </w:r>
      <w:r w:rsidR="004F429F">
        <w:rPr>
          <w:rFonts w:ascii="Arial" w:hAnsi="Arial" w:cs="Arial"/>
        </w:rPr>
        <w:t>ndence residential care in favou</w:t>
      </w:r>
      <w:r w:rsidRPr="00E37BF6">
        <w:rPr>
          <w:rFonts w:ascii="Arial" w:hAnsi="Arial" w:cs="Arial"/>
        </w:rPr>
        <w:t xml:space="preserve">r of supported living services. </w:t>
      </w:r>
    </w:p>
    <w:p w:rsidR="003B47B0" w:rsidRDefault="003B47B0" w:rsidP="003B47B0">
      <w:pPr>
        <w:numPr>
          <w:ilvl w:val="0"/>
          <w:numId w:val="32"/>
        </w:numPr>
        <w:spacing w:before="120" w:after="120"/>
        <w:rPr>
          <w:rFonts w:ascii="Arial" w:hAnsi="Arial" w:cs="Arial"/>
        </w:rPr>
      </w:pPr>
      <w:r>
        <w:rPr>
          <w:rFonts w:ascii="Arial" w:hAnsi="Arial" w:cs="Arial"/>
        </w:rPr>
        <w:t xml:space="preserve">Our prevention and early intervention support has helped to ensure that the no new detententions under Section 3 of the Mental Health Act have been made to the Asessment and Treatment Unit, and </w:t>
      </w:r>
      <w:r w:rsidRPr="00E42B63">
        <w:rPr>
          <w:rFonts w:ascii="Arial" w:hAnsi="Arial" w:cs="Arial"/>
        </w:rPr>
        <w:t>our last Bradford resident detained in the ATU discharged in September to his own home.</w:t>
      </w:r>
    </w:p>
    <w:p w:rsidR="003B47B0" w:rsidRDefault="00E37BF6" w:rsidP="003B47B0">
      <w:pPr>
        <w:numPr>
          <w:ilvl w:val="0"/>
          <w:numId w:val="32"/>
        </w:numPr>
        <w:spacing w:before="120" w:after="120"/>
        <w:rPr>
          <w:rFonts w:ascii="Arial" w:hAnsi="Arial" w:cs="Arial"/>
        </w:rPr>
      </w:pPr>
      <w:r w:rsidRPr="00E37BF6">
        <w:rPr>
          <w:rFonts w:ascii="Arial" w:hAnsi="Arial" w:cs="Arial"/>
        </w:rPr>
        <w:t xml:space="preserve">the Preparation for Adulthood Team have successfully managed demand from young people transitioning to adult care services by offering support for people to remain living at home with parents, rather than in independent accommodation. </w:t>
      </w:r>
    </w:p>
    <w:p w:rsidR="003B47B0" w:rsidRDefault="003B47B0" w:rsidP="003B47B0">
      <w:pPr>
        <w:spacing w:before="120" w:after="120"/>
        <w:ind w:left="720"/>
        <w:rPr>
          <w:rFonts w:ascii="Arial" w:hAnsi="Arial" w:cs="Arial"/>
        </w:rPr>
      </w:pPr>
    </w:p>
    <w:p w:rsidR="00E42B63" w:rsidRDefault="00E37BF6" w:rsidP="00E42B63">
      <w:pPr>
        <w:spacing w:before="120" w:after="120"/>
        <w:ind w:left="720"/>
        <w:rPr>
          <w:rFonts w:ascii="Arial" w:hAnsi="Arial" w:cs="Arial"/>
        </w:rPr>
      </w:pPr>
      <w:r w:rsidRPr="00E37BF6">
        <w:rPr>
          <w:rFonts w:ascii="Arial" w:hAnsi="Arial" w:cs="Arial"/>
        </w:rPr>
        <w:lastRenderedPageBreak/>
        <w:t>T</w:t>
      </w:r>
      <w:r w:rsidR="003B47B0">
        <w:rPr>
          <w:rFonts w:ascii="Arial" w:hAnsi="Arial" w:cs="Arial"/>
        </w:rPr>
        <w:t xml:space="preserve">he work done by the service </w:t>
      </w:r>
      <w:r w:rsidRPr="00E37BF6">
        <w:rPr>
          <w:rFonts w:ascii="Arial" w:hAnsi="Arial" w:cs="Arial"/>
        </w:rPr>
        <w:t xml:space="preserve">has </w:t>
      </w:r>
      <w:r w:rsidR="004F429F">
        <w:rPr>
          <w:rFonts w:ascii="Arial" w:hAnsi="Arial" w:cs="Arial"/>
        </w:rPr>
        <w:t>suppressed</w:t>
      </w:r>
      <w:r w:rsidRPr="00E37BF6">
        <w:rPr>
          <w:rFonts w:ascii="Arial" w:hAnsi="Arial" w:cs="Arial"/>
        </w:rPr>
        <w:t xml:space="preserve"> around £7m of demand over the last three years.</w:t>
      </w:r>
      <w:r w:rsidR="00494FF6">
        <w:rPr>
          <w:rFonts w:ascii="Arial" w:hAnsi="Arial" w:cs="Arial"/>
        </w:rPr>
        <w:t xml:space="preserve">  </w:t>
      </w:r>
      <w:r w:rsidR="00D13221">
        <w:rPr>
          <w:rFonts w:ascii="Arial" w:hAnsi="Arial" w:cs="Arial"/>
        </w:rPr>
        <w:t xml:space="preserve">However, our </w:t>
      </w:r>
      <w:r w:rsidR="00E42B63">
        <w:rPr>
          <w:rFonts w:ascii="Arial" w:hAnsi="Arial" w:cs="Arial"/>
        </w:rPr>
        <w:t>local</w:t>
      </w:r>
      <w:r w:rsidR="00D13221">
        <w:rPr>
          <w:rFonts w:ascii="Arial" w:hAnsi="Arial" w:cs="Arial"/>
        </w:rPr>
        <w:t xml:space="preserve"> experience</w:t>
      </w:r>
      <w:r w:rsidR="00E42B63">
        <w:rPr>
          <w:rFonts w:ascii="Arial" w:hAnsi="Arial" w:cs="Arial"/>
        </w:rPr>
        <w:t xml:space="preserve"> and </w:t>
      </w:r>
      <w:r w:rsidR="00D13221">
        <w:rPr>
          <w:rFonts w:ascii="Arial" w:hAnsi="Arial" w:cs="Arial"/>
        </w:rPr>
        <w:t xml:space="preserve">evidence from research at the </w:t>
      </w:r>
      <w:r w:rsidR="00E42B63">
        <w:rPr>
          <w:rFonts w:ascii="Arial" w:hAnsi="Arial" w:cs="Arial"/>
        </w:rPr>
        <w:t xml:space="preserve">national level </w:t>
      </w:r>
      <w:r w:rsidR="00D13221">
        <w:rPr>
          <w:rFonts w:ascii="Arial" w:hAnsi="Arial" w:cs="Arial"/>
        </w:rPr>
        <w:t>have highlighted</w:t>
      </w:r>
      <w:r w:rsidR="00E42B63">
        <w:rPr>
          <w:rFonts w:ascii="Arial" w:hAnsi="Arial" w:cs="Arial"/>
        </w:rPr>
        <w:t xml:space="preserve"> the need for a long and sustained approach to reduce and manage demand for this cohort, mainly due to the high and complex nature of the support needs. As such, we have implemented a transformation programme that recognises the need for a holistic and longer-term approach and builds on the good work done to date. It focuses on a collaborative approach to developing support solutions that promote </w:t>
      </w:r>
      <w:r w:rsidR="00863F32" w:rsidRPr="00863F32">
        <w:rPr>
          <w:rFonts w:ascii="Arial" w:hAnsi="Arial" w:cs="Arial"/>
        </w:rPr>
        <w:t>independent living</w:t>
      </w:r>
      <w:r w:rsidR="00863F32">
        <w:rPr>
          <w:rFonts w:ascii="Arial" w:hAnsi="Arial" w:cs="Arial"/>
        </w:rPr>
        <w:t>, strength</w:t>
      </w:r>
      <w:r w:rsidR="004F429F">
        <w:rPr>
          <w:rFonts w:ascii="Arial" w:hAnsi="Arial" w:cs="Arial"/>
        </w:rPr>
        <w:t>,</w:t>
      </w:r>
      <w:r w:rsidR="00863F32">
        <w:rPr>
          <w:rFonts w:ascii="Arial" w:hAnsi="Arial" w:cs="Arial"/>
        </w:rPr>
        <w:t xml:space="preserve"> and </w:t>
      </w:r>
      <w:r w:rsidR="004F429F">
        <w:rPr>
          <w:rFonts w:ascii="Arial" w:hAnsi="Arial" w:cs="Arial"/>
        </w:rPr>
        <w:t>outcome-based</w:t>
      </w:r>
      <w:r w:rsidR="00863F32">
        <w:rPr>
          <w:rFonts w:ascii="Arial" w:hAnsi="Arial" w:cs="Arial"/>
        </w:rPr>
        <w:t xml:space="preserve"> </w:t>
      </w:r>
      <w:r w:rsidR="004F429F">
        <w:rPr>
          <w:rFonts w:ascii="Arial" w:hAnsi="Arial" w:cs="Arial"/>
        </w:rPr>
        <w:t>daycare</w:t>
      </w:r>
      <w:r w:rsidR="00863F32">
        <w:rPr>
          <w:rFonts w:ascii="Arial" w:hAnsi="Arial" w:cs="Arial"/>
        </w:rPr>
        <w:t xml:space="preserve"> provision, prevention</w:t>
      </w:r>
      <w:r w:rsidR="004F429F">
        <w:rPr>
          <w:rFonts w:ascii="Arial" w:hAnsi="Arial" w:cs="Arial"/>
        </w:rPr>
        <w:t>,</w:t>
      </w:r>
      <w:r w:rsidR="00863F32">
        <w:rPr>
          <w:rFonts w:ascii="Arial" w:hAnsi="Arial" w:cs="Arial"/>
        </w:rPr>
        <w:t xml:space="preserve"> and early intervention.  </w:t>
      </w:r>
    </w:p>
    <w:p w:rsidR="00E45759" w:rsidRDefault="00E45759" w:rsidP="00E42B63">
      <w:pPr>
        <w:spacing w:before="120" w:after="120"/>
        <w:ind w:left="720"/>
        <w:rPr>
          <w:rFonts w:ascii="Arial" w:hAnsi="Arial" w:cs="Arial"/>
        </w:rPr>
      </w:pPr>
    </w:p>
    <w:p w:rsidR="00E45759" w:rsidRDefault="00E45759" w:rsidP="00E42B63">
      <w:pPr>
        <w:spacing w:before="120" w:after="120"/>
        <w:ind w:left="720"/>
        <w:rPr>
          <w:rFonts w:ascii="Arial" w:hAnsi="Arial" w:cs="Arial"/>
        </w:rPr>
      </w:pPr>
      <w:r>
        <w:rPr>
          <w:rFonts w:ascii="Arial" w:hAnsi="Arial" w:cs="Arial"/>
        </w:rPr>
        <w:t xml:space="preserve">Our Transformation Programme has been developed through detailed engagement with service users, families and carers and reflects their feedback on the issues they feel need to be addressed to ensure their needs, outcomes, and aspirations are being met. The principles of co-production and co-design will continue to be at the forefront of our service design and market-shaping approach, ensuring that that we increase the choice and type of support available to individuals, while also ensuring they have a strong voice in determining where they live, the level of support they receive and how this is provided. </w:t>
      </w:r>
    </w:p>
    <w:p w:rsidR="00E42B63" w:rsidRDefault="00E42B63" w:rsidP="00E42B63">
      <w:pPr>
        <w:spacing w:before="120" w:after="120"/>
        <w:ind w:left="720"/>
        <w:rPr>
          <w:rFonts w:ascii="Arial" w:hAnsi="Arial" w:cs="Arial"/>
        </w:rPr>
      </w:pPr>
    </w:p>
    <w:p w:rsidR="00863F32" w:rsidRDefault="005F1051" w:rsidP="00E42B63">
      <w:pPr>
        <w:spacing w:before="120" w:after="120"/>
        <w:ind w:left="720"/>
        <w:rPr>
          <w:rFonts w:ascii="Arial" w:hAnsi="Arial" w:cs="Arial"/>
        </w:rPr>
      </w:pPr>
      <w:r>
        <w:rPr>
          <w:rFonts w:ascii="Arial" w:hAnsi="Arial" w:cs="Arial"/>
        </w:rPr>
        <w:t xml:space="preserve">The additional funding </w:t>
      </w:r>
      <w:r w:rsidR="00E42B63">
        <w:rPr>
          <w:rFonts w:ascii="Arial" w:hAnsi="Arial" w:cs="Arial"/>
        </w:rPr>
        <w:t xml:space="preserve">secured through this proposal </w:t>
      </w:r>
      <w:r>
        <w:rPr>
          <w:rFonts w:ascii="Arial" w:hAnsi="Arial" w:cs="Arial"/>
        </w:rPr>
        <w:t xml:space="preserve">will help </w:t>
      </w:r>
      <w:r w:rsidR="00E42B63">
        <w:rPr>
          <w:rFonts w:ascii="Arial" w:hAnsi="Arial" w:cs="Arial"/>
        </w:rPr>
        <w:t xml:space="preserve">us to </w:t>
      </w:r>
      <w:r w:rsidR="0027749A">
        <w:rPr>
          <w:rFonts w:ascii="Arial" w:hAnsi="Arial" w:cs="Arial"/>
        </w:rPr>
        <w:t xml:space="preserve">continue delivery of ongoing service provision and meeting outcomes for individuals, while also ensuring that we maintain moment on </w:t>
      </w:r>
      <w:r w:rsidR="00E42B63">
        <w:rPr>
          <w:rFonts w:ascii="Arial" w:hAnsi="Arial" w:cs="Arial"/>
        </w:rPr>
        <w:t>delivering the change implemented through the transformation programme</w:t>
      </w:r>
      <w:r w:rsidR="0027749A">
        <w:rPr>
          <w:rFonts w:ascii="Arial" w:hAnsi="Arial" w:cs="Arial"/>
        </w:rPr>
        <w:t xml:space="preserve">, which includes the following components. </w:t>
      </w:r>
    </w:p>
    <w:tbl>
      <w:tblPr>
        <w:tblW w:w="9214" w:type="dxa"/>
        <w:tblInd w:w="817" w:type="dxa"/>
        <w:tblBorders>
          <w:top w:val="single" w:sz="2" w:space="0" w:color="8EAADB"/>
          <w:bottom w:val="single" w:sz="2" w:space="0" w:color="8EAADB"/>
          <w:insideH w:val="single" w:sz="2" w:space="0" w:color="8EAADB"/>
          <w:insideV w:val="single" w:sz="2" w:space="0" w:color="8EAADB"/>
        </w:tblBorders>
        <w:tblLook w:val="0420" w:firstRow="1" w:lastRow="0" w:firstColumn="0" w:lastColumn="0" w:noHBand="0" w:noVBand="1"/>
      </w:tblPr>
      <w:tblGrid>
        <w:gridCol w:w="1985"/>
        <w:gridCol w:w="7229"/>
      </w:tblGrid>
      <w:tr w:rsidR="00CF7A80" w:rsidRPr="001A5BC3" w:rsidTr="001A5BC3">
        <w:trPr>
          <w:trHeight w:val="80"/>
        </w:trPr>
        <w:tc>
          <w:tcPr>
            <w:tcW w:w="1985" w:type="dxa"/>
            <w:tcBorders>
              <w:top w:val="nil"/>
              <w:bottom w:val="single" w:sz="12" w:space="0" w:color="8EAADB"/>
              <w:right w:val="nil"/>
            </w:tcBorders>
            <w:shd w:val="clear" w:color="auto" w:fill="FFFFFF"/>
          </w:tcPr>
          <w:p w:rsidR="00CF7A80" w:rsidRPr="001A5BC3" w:rsidRDefault="00CF7A80" w:rsidP="001A5BC3">
            <w:pPr>
              <w:spacing w:before="120" w:after="120"/>
              <w:rPr>
                <w:rFonts w:ascii="Calibri" w:hAnsi="Calibri" w:cs="Calibri"/>
                <w:b/>
                <w:bCs/>
                <w:sz w:val="22"/>
                <w:szCs w:val="22"/>
              </w:rPr>
            </w:pPr>
            <w:r w:rsidRPr="001A5BC3">
              <w:rPr>
                <w:rFonts w:ascii="Calibri" w:hAnsi="Calibri" w:cs="Calibri"/>
                <w:b/>
                <w:bCs/>
                <w:sz w:val="22"/>
                <w:szCs w:val="22"/>
              </w:rPr>
              <w:t>Reimagining days</w:t>
            </w:r>
          </w:p>
        </w:tc>
        <w:tc>
          <w:tcPr>
            <w:tcW w:w="7229" w:type="dxa"/>
            <w:tcBorders>
              <w:top w:val="nil"/>
              <w:left w:val="nil"/>
              <w:bottom w:val="single" w:sz="12" w:space="0" w:color="8EAADB"/>
            </w:tcBorders>
            <w:shd w:val="clear" w:color="auto" w:fill="FFFFFF"/>
          </w:tcPr>
          <w:p w:rsidR="00CF7A80" w:rsidRPr="001A5BC3" w:rsidRDefault="00CF7A80" w:rsidP="001A5BC3">
            <w:pPr>
              <w:numPr>
                <w:ilvl w:val="0"/>
                <w:numId w:val="31"/>
              </w:numPr>
              <w:spacing w:before="120" w:after="120"/>
              <w:ind w:left="462"/>
              <w:rPr>
                <w:rFonts w:ascii="Calibri" w:hAnsi="Calibri" w:cs="Calibri"/>
                <w:sz w:val="22"/>
                <w:szCs w:val="22"/>
              </w:rPr>
            </w:pPr>
            <w:r w:rsidRPr="001A5BC3">
              <w:rPr>
                <w:rFonts w:ascii="Calibri" w:hAnsi="Calibri" w:cs="Calibri"/>
                <w:sz w:val="22"/>
                <w:szCs w:val="22"/>
              </w:rPr>
              <w:t>To work with people to develop day services that give people with learning disabilities more choice over the types of support they want and when and where they want to access them.</w:t>
            </w:r>
          </w:p>
        </w:tc>
      </w:tr>
      <w:tr w:rsidR="00CF7A80" w:rsidRPr="001A5BC3" w:rsidTr="001A5BC3">
        <w:trPr>
          <w:trHeight w:val="517"/>
        </w:trPr>
        <w:tc>
          <w:tcPr>
            <w:tcW w:w="1985" w:type="dxa"/>
            <w:shd w:val="clear" w:color="auto" w:fill="D9E2F3"/>
            <w:hideMark/>
          </w:tcPr>
          <w:p w:rsidR="00CF7A80" w:rsidRPr="001A5BC3" w:rsidRDefault="00CF7A80" w:rsidP="001A5BC3">
            <w:pPr>
              <w:spacing w:before="120" w:after="120"/>
              <w:rPr>
                <w:rFonts w:ascii="Calibri" w:hAnsi="Calibri" w:cs="Calibri"/>
                <w:b/>
                <w:bCs/>
                <w:sz w:val="22"/>
                <w:szCs w:val="22"/>
              </w:rPr>
            </w:pPr>
            <w:r w:rsidRPr="001A5BC3">
              <w:rPr>
                <w:rFonts w:ascii="Calibri" w:hAnsi="Calibri" w:cs="Calibri"/>
                <w:b/>
                <w:bCs/>
                <w:sz w:val="22"/>
                <w:szCs w:val="22"/>
              </w:rPr>
              <w:t>Partnership working and transformational change</w:t>
            </w:r>
          </w:p>
        </w:tc>
        <w:tc>
          <w:tcPr>
            <w:tcW w:w="7229" w:type="dxa"/>
            <w:shd w:val="clear" w:color="auto" w:fill="D9E2F3"/>
            <w:hideMark/>
          </w:tcPr>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Improving Health and Wellbeing  for people with LD</w:t>
            </w:r>
          </w:p>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Upholding Citizens Rights</w:t>
            </w:r>
          </w:p>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Co-Production with person, and their carer or advocate</w:t>
            </w:r>
          </w:p>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Embed a culture of continuous improvement</w:t>
            </w:r>
          </w:p>
        </w:tc>
      </w:tr>
      <w:tr w:rsidR="00CF7A80" w:rsidRPr="008D4D12" w:rsidTr="001A5BC3">
        <w:trPr>
          <w:trHeight w:val="130"/>
        </w:trPr>
        <w:tc>
          <w:tcPr>
            <w:tcW w:w="1985" w:type="dxa"/>
            <w:shd w:val="clear" w:color="auto" w:fill="auto"/>
            <w:hideMark/>
          </w:tcPr>
          <w:p w:rsidR="00CF7A80" w:rsidRPr="001A5BC3" w:rsidRDefault="00CF7A80" w:rsidP="001A5BC3">
            <w:pPr>
              <w:spacing w:before="120" w:after="120"/>
              <w:rPr>
                <w:rFonts w:ascii="Calibri" w:hAnsi="Calibri" w:cs="Calibri"/>
                <w:b/>
                <w:bCs/>
                <w:sz w:val="22"/>
                <w:szCs w:val="22"/>
              </w:rPr>
            </w:pPr>
            <w:r w:rsidRPr="001A5BC3">
              <w:rPr>
                <w:rFonts w:ascii="Calibri" w:hAnsi="Calibri" w:cs="Calibri"/>
                <w:b/>
                <w:bCs/>
                <w:sz w:val="22"/>
                <w:szCs w:val="22"/>
              </w:rPr>
              <w:t>Learning Disabilities Operating Model</w:t>
            </w:r>
          </w:p>
        </w:tc>
        <w:tc>
          <w:tcPr>
            <w:tcW w:w="7229" w:type="dxa"/>
            <w:shd w:val="clear" w:color="auto" w:fill="auto"/>
            <w:hideMark/>
          </w:tcPr>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 xml:space="preserve">Small </w:t>
            </w:r>
          </w:p>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Preparation for Adulthood (PFA)</w:t>
            </w:r>
          </w:p>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Prevention and Early help - Community Led Support</w:t>
            </w:r>
          </w:p>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Front Door Operating Model</w:t>
            </w:r>
          </w:p>
          <w:p w:rsidR="008D4D12"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Reviews</w:t>
            </w:r>
          </w:p>
        </w:tc>
      </w:tr>
      <w:tr w:rsidR="00CF7A80" w:rsidRPr="001A5BC3" w:rsidTr="001A5BC3">
        <w:trPr>
          <w:trHeight w:val="1123"/>
        </w:trPr>
        <w:tc>
          <w:tcPr>
            <w:tcW w:w="1985" w:type="dxa"/>
            <w:shd w:val="clear" w:color="auto" w:fill="D9E2F3"/>
          </w:tcPr>
          <w:p w:rsidR="00CF7A80" w:rsidRPr="001A5BC3" w:rsidRDefault="00CF7A80" w:rsidP="001A5BC3">
            <w:pPr>
              <w:spacing w:before="120" w:after="120"/>
              <w:rPr>
                <w:rFonts w:ascii="Calibri" w:hAnsi="Calibri" w:cs="Calibri"/>
                <w:b/>
                <w:bCs/>
                <w:sz w:val="22"/>
                <w:szCs w:val="22"/>
              </w:rPr>
            </w:pPr>
            <w:r w:rsidRPr="001A5BC3">
              <w:rPr>
                <w:rFonts w:ascii="Calibri" w:hAnsi="Calibri" w:cs="Calibri"/>
                <w:sz w:val="22"/>
                <w:szCs w:val="22"/>
              </w:rPr>
              <w:t>Autism &amp; Neurodiversity</w:t>
            </w:r>
          </w:p>
        </w:tc>
        <w:tc>
          <w:tcPr>
            <w:tcW w:w="7229" w:type="dxa"/>
            <w:shd w:val="clear" w:color="auto" w:fill="D9E2F3"/>
          </w:tcPr>
          <w:p w:rsidR="00CF7A80" w:rsidRPr="001A5BC3" w:rsidRDefault="00CF7A80"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 xml:space="preserve">Develop a new offer for people with Autism and Asperger’s Syndrome to enable them to live their best life, investing in sensory therapeutic approaches, encouraging supported employment and independent living. </w:t>
            </w:r>
          </w:p>
        </w:tc>
      </w:tr>
      <w:tr w:rsidR="006C6962" w:rsidRPr="001A5BC3" w:rsidTr="001A5BC3">
        <w:trPr>
          <w:trHeight w:val="75"/>
        </w:trPr>
        <w:tc>
          <w:tcPr>
            <w:tcW w:w="1985" w:type="dxa"/>
            <w:shd w:val="clear" w:color="auto" w:fill="auto"/>
          </w:tcPr>
          <w:p w:rsidR="006C6962" w:rsidRPr="001A5BC3" w:rsidRDefault="006C6962" w:rsidP="001A5BC3">
            <w:pPr>
              <w:spacing w:before="120" w:after="120"/>
              <w:rPr>
                <w:rFonts w:ascii="Calibri" w:hAnsi="Calibri" w:cs="Calibri"/>
                <w:sz w:val="22"/>
                <w:szCs w:val="22"/>
              </w:rPr>
            </w:pPr>
            <w:r w:rsidRPr="001A5BC3">
              <w:rPr>
                <w:rFonts w:ascii="Calibri" w:hAnsi="Calibri" w:cs="Calibri"/>
                <w:sz w:val="22"/>
                <w:szCs w:val="22"/>
              </w:rPr>
              <w:t>Contract review</w:t>
            </w:r>
          </w:p>
        </w:tc>
        <w:tc>
          <w:tcPr>
            <w:tcW w:w="7229" w:type="dxa"/>
            <w:shd w:val="clear" w:color="auto" w:fill="auto"/>
          </w:tcPr>
          <w:p w:rsidR="006C6962" w:rsidRPr="001A5BC3" w:rsidRDefault="006C6962" w:rsidP="001A5BC3">
            <w:pPr>
              <w:numPr>
                <w:ilvl w:val="0"/>
                <w:numId w:val="31"/>
              </w:numPr>
              <w:spacing w:before="120" w:after="120"/>
              <w:ind w:left="462"/>
              <w:contextualSpacing/>
              <w:rPr>
                <w:rFonts w:ascii="Calibri" w:hAnsi="Calibri" w:cs="Calibri"/>
                <w:sz w:val="22"/>
                <w:szCs w:val="22"/>
              </w:rPr>
            </w:pPr>
            <w:r w:rsidRPr="001A5BC3">
              <w:rPr>
                <w:rFonts w:ascii="Calibri" w:hAnsi="Calibri" w:cs="Calibri"/>
                <w:sz w:val="22"/>
                <w:szCs w:val="22"/>
              </w:rPr>
              <w:t xml:space="preserve">Review of contracts and care packages and block contracts </w:t>
            </w:r>
          </w:p>
        </w:tc>
      </w:tr>
    </w:tbl>
    <w:p w:rsidR="00E37BF6" w:rsidRDefault="00E37BF6" w:rsidP="001063EB">
      <w:pPr>
        <w:spacing w:before="120" w:after="120"/>
        <w:ind w:left="720"/>
        <w:rPr>
          <w:rFonts w:ascii="Arial" w:hAnsi="Arial" w:cs="Arial"/>
        </w:rPr>
      </w:pP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lastRenderedPageBreak/>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5F7B6E" w:rsidRDefault="005F7B6E" w:rsidP="001A7399">
      <w:pPr>
        <w:rPr>
          <w:rFonts w:ascii="Arial" w:hAnsi="Arial" w:cs="Arial"/>
        </w:rPr>
      </w:pPr>
    </w:p>
    <w:p w:rsidR="00ED300B" w:rsidRPr="002E3BC8" w:rsidRDefault="00ED300B" w:rsidP="00ED300B">
      <w:pPr>
        <w:ind w:left="709"/>
        <w:rPr>
          <w:rFonts w:ascii="Arial" w:hAnsi="Arial" w:cs="Arial"/>
        </w:rPr>
      </w:pPr>
      <w:r w:rsidRPr="002E3BC8">
        <w:rPr>
          <w:rFonts w:ascii="Arial" w:hAnsi="Arial" w:cs="Arial"/>
        </w:rPr>
        <w:t xml:space="preserve">Yes, the additional funding will enable the service to provide support to vulnerable people </w:t>
      </w:r>
      <w:r w:rsidR="00CF7A80">
        <w:rPr>
          <w:rFonts w:ascii="Arial" w:hAnsi="Arial" w:cs="Arial"/>
        </w:rPr>
        <w:t xml:space="preserve">with learning disabilities </w:t>
      </w:r>
      <w:r w:rsidRPr="002E3BC8">
        <w:rPr>
          <w:rFonts w:ascii="Arial" w:hAnsi="Arial" w:cs="Arial"/>
        </w:rPr>
        <w:t>who share a protected characterisitic to retain their independence within their own home</w:t>
      </w:r>
      <w:r w:rsidR="006E6FD4" w:rsidRPr="002E3BC8">
        <w:rPr>
          <w:rFonts w:ascii="Arial" w:hAnsi="Arial" w:cs="Arial"/>
        </w:rPr>
        <w:t xml:space="preserve"> (or supported living)</w:t>
      </w:r>
      <w:r w:rsidRPr="002E3BC8">
        <w:rPr>
          <w:rFonts w:ascii="Arial" w:hAnsi="Arial" w:cs="Arial"/>
        </w:rPr>
        <w:t xml:space="preserve">, while enabling them to continue to activitly engage in their wider community. </w:t>
      </w:r>
    </w:p>
    <w:p w:rsidR="00ED300B" w:rsidRDefault="00ED300B" w:rsidP="00ED300B">
      <w:pPr>
        <w:ind w:left="709"/>
        <w:rPr>
          <w:rFonts w:ascii="Arial" w:hAnsi="Arial" w:cs="Arial"/>
          <w:i/>
        </w:rPr>
      </w:pPr>
    </w:p>
    <w:p w:rsidR="001A7399" w:rsidRPr="00DE3D27" w:rsidRDefault="001A7399" w:rsidP="001A7399">
      <w:pPr>
        <w:rPr>
          <w:rFonts w:ascii="Arial" w:hAnsi="Arial" w:cs="Arial"/>
          <w:color w:val="000080"/>
        </w:rPr>
      </w:pPr>
    </w:p>
    <w:p w:rsidR="001A7399" w:rsidRPr="001A7399" w:rsidRDefault="001A7399" w:rsidP="001A7399">
      <w:pPr>
        <w:rPr>
          <w:rFonts w:ascii="Arial" w:hAnsi="Arial" w:cs="Arial"/>
          <w:b/>
          <w:color w:val="000080"/>
        </w:rPr>
      </w:pPr>
    </w:p>
    <w:p w:rsidR="00DE56FE"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1C101F" w:rsidRPr="001A7399" w:rsidRDefault="001C101F" w:rsidP="001C101F">
      <w:pPr>
        <w:ind w:left="720"/>
        <w:rPr>
          <w:rFonts w:ascii="Arial" w:hAnsi="Arial" w:cs="Arial"/>
          <w:b/>
          <w:color w:val="000080"/>
        </w:rPr>
      </w:pPr>
    </w:p>
    <w:p w:rsidR="005F7B6E" w:rsidRDefault="005F7B6E" w:rsidP="00DE56FE">
      <w:pPr>
        <w:ind w:left="720" w:hanging="720"/>
        <w:rPr>
          <w:rFonts w:ascii="Arial" w:hAnsi="Arial" w:cs="Arial"/>
        </w:rPr>
      </w:pPr>
    </w:p>
    <w:p w:rsidR="006E6FD4" w:rsidRPr="002E3BC8" w:rsidRDefault="006E6FD4" w:rsidP="006E6FD4">
      <w:pPr>
        <w:ind w:left="709"/>
        <w:rPr>
          <w:rFonts w:ascii="Arial" w:hAnsi="Arial" w:cs="Arial"/>
        </w:rPr>
      </w:pPr>
      <w:r w:rsidRPr="002E3BC8">
        <w:rPr>
          <w:rFonts w:ascii="Arial" w:hAnsi="Arial" w:cs="Arial"/>
        </w:rPr>
        <w:t xml:space="preserve">Yes, the additional funding will enable the service to provide support to vulnerable people </w:t>
      </w:r>
      <w:r w:rsidR="00CF7A80">
        <w:rPr>
          <w:rFonts w:ascii="Arial" w:hAnsi="Arial" w:cs="Arial"/>
        </w:rPr>
        <w:t xml:space="preserve">with learning disabilities </w:t>
      </w:r>
      <w:r w:rsidRPr="002E3BC8">
        <w:rPr>
          <w:rFonts w:ascii="Arial" w:hAnsi="Arial" w:cs="Arial"/>
        </w:rPr>
        <w:t xml:space="preserve">who share a protected characterisitic to retain their independence within their own home (or supported living), while enabling them to continue to activitly engage in their wider community. </w:t>
      </w:r>
    </w:p>
    <w:p w:rsidR="00DE56FE" w:rsidRPr="0037765F" w:rsidRDefault="00DE56FE" w:rsidP="00DE56FE">
      <w:pPr>
        <w:ind w:left="720" w:hanging="720"/>
        <w:rPr>
          <w:rFonts w:ascii="Arial" w:hAnsi="Arial" w:cs="Arial"/>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6E6FD4" w:rsidRDefault="006E6FD4" w:rsidP="006E6FD4">
      <w:pPr>
        <w:ind w:firstLine="720"/>
        <w:rPr>
          <w:rFonts w:ascii="Arial" w:hAnsi="Arial" w:cs="Arial"/>
        </w:rPr>
      </w:pPr>
    </w:p>
    <w:p w:rsidR="004A5C0B" w:rsidRPr="0037765F" w:rsidRDefault="001C101F" w:rsidP="006E6FD4">
      <w:pPr>
        <w:ind w:firstLine="720"/>
        <w:rPr>
          <w:rFonts w:ascii="Arial" w:hAnsi="Arial" w:cs="Arial"/>
        </w:rPr>
      </w:pPr>
      <w:r w:rsidRPr="0037765F">
        <w:rPr>
          <w:rFonts w:ascii="Arial" w:hAnsi="Arial" w:cs="Arial"/>
        </w:rPr>
        <w:t>No</w:t>
      </w:r>
    </w:p>
    <w:p w:rsidR="00607D1D" w:rsidRDefault="00607D1D" w:rsidP="00491786">
      <w:pPr>
        <w:rPr>
          <w:rFonts w:ascii="Arial" w:hAnsi="Arial" w:cs="Arial"/>
          <w:color w:val="000080"/>
        </w:rPr>
      </w:pP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823C07" w:rsidP="00951D8F">
            <w:pPr>
              <w:spacing w:line="360" w:lineRule="auto"/>
              <w:jc w:val="center"/>
              <w:rPr>
                <w:rFonts w:ascii="Arial" w:hAnsi="Arial" w:cs="Arial"/>
                <w:color w:val="0000FF"/>
              </w:rPr>
            </w:pPr>
            <w:r>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tcBorders>
              <w:bottom w:val="single" w:sz="6" w:space="0" w:color="auto"/>
            </w:tcBorders>
            <w:shd w:val="clear" w:color="auto" w:fill="DDFFFF"/>
            <w:vAlign w:val="center"/>
          </w:tcPr>
          <w:p w:rsidR="00823C07" w:rsidRPr="00F106C5" w:rsidRDefault="00823C07" w:rsidP="00823C07">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rPr>
                <w:rFonts w:ascii="Arial" w:hAnsi="Arial" w:cs="Arial"/>
                <w:color w:val="0000FF"/>
              </w:rPr>
            </w:pPr>
            <w:r>
              <w:rPr>
                <w:rFonts w:ascii="Arial" w:hAnsi="Arial" w:cs="Arial"/>
                <w:b/>
                <w:color w:val="0000FF"/>
              </w:rPr>
              <w:t>Additional Consideration:</w:t>
            </w:r>
          </w:p>
        </w:tc>
        <w:tc>
          <w:tcPr>
            <w:tcW w:w="2490" w:type="dxa"/>
            <w:shd w:val="clear" w:color="auto" w:fill="auto"/>
          </w:tcPr>
          <w:p w:rsidR="00823C07" w:rsidRDefault="00823C07" w:rsidP="00823C07">
            <w:pPr>
              <w:jc w:val="center"/>
            </w:pPr>
            <w:r w:rsidRPr="00B14440">
              <w:rPr>
                <w:rFonts w:ascii="Arial" w:hAnsi="Arial" w:cs="Arial"/>
                <w:color w:val="0000FF"/>
              </w:rPr>
              <w:t>N</w:t>
            </w:r>
          </w:p>
        </w:tc>
      </w:tr>
      <w:tr w:rsidR="00823C07" w:rsidRPr="00F106C5" w:rsidTr="00C05493">
        <w:trPr>
          <w:trHeight w:val="428"/>
          <w:jc w:val="center"/>
        </w:trPr>
        <w:tc>
          <w:tcPr>
            <w:tcW w:w="5970" w:type="dxa"/>
            <w:shd w:val="clear" w:color="auto" w:fill="DDFFFF"/>
            <w:vAlign w:val="center"/>
          </w:tcPr>
          <w:p w:rsidR="00823C07" w:rsidRPr="00F106C5" w:rsidRDefault="00823C07" w:rsidP="00823C07">
            <w:pPr>
              <w:ind w:left="720"/>
              <w:rPr>
                <w:rFonts w:ascii="Arial" w:hAnsi="Arial" w:cs="Arial"/>
                <w:b/>
                <w:color w:val="0000FF"/>
              </w:rPr>
            </w:pPr>
            <w:r w:rsidRPr="00F106C5">
              <w:rPr>
                <w:rFonts w:ascii="Arial" w:hAnsi="Arial" w:cs="Arial"/>
                <w:color w:val="0000FF"/>
              </w:rPr>
              <w:lastRenderedPageBreak/>
              <w:t>Low income/low wage</w:t>
            </w:r>
          </w:p>
        </w:tc>
        <w:tc>
          <w:tcPr>
            <w:tcW w:w="2490" w:type="dxa"/>
            <w:shd w:val="clear" w:color="auto" w:fill="auto"/>
          </w:tcPr>
          <w:p w:rsidR="00823C07" w:rsidRDefault="00823C07" w:rsidP="00823C07">
            <w:pPr>
              <w:jc w:val="center"/>
            </w:pPr>
            <w:r w:rsidRPr="00B14440">
              <w:rPr>
                <w:rFonts w:ascii="Arial" w:hAnsi="Arial" w:cs="Arial"/>
                <w:color w:val="0000FF"/>
              </w:rPr>
              <w:t>N</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6E6FD4" w:rsidRDefault="006E6FD4" w:rsidP="000705A4">
      <w:pPr>
        <w:rPr>
          <w:rFonts w:ascii="Arial" w:hAnsi="Arial" w:cs="Arial"/>
        </w:rPr>
      </w:pPr>
    </w:p>
    <w:p w:rsidR="006E6FD4" w:rsidRDefault="006E6FD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5F7B6E" w:rsidRPr="002E3BC8" w:rsidRDefault="00270215" w:rsidP="006E6FD4">
      <w:pPr>
        <w:ind w:left="709"/>
        <w:rPr>
          <w:rFonts w:ascii="Arial" w:hAnsi="Arial" w:cs="Arial"/>
        </w:rPr>
      </w:pPr>
      <w:r w:rsidRPr="002E3BC8">
        <w:rPr>
          <w:rFonts w:ascii="Arial" w:hAnsi="Arial" w:cs="Arial"/>
        </w:rPr>
        <w:t>N/A There are no negative impacts of this proposal.</w:t>
      </w: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90057B" w:rsidRPr="0090057B" w:rsidRDefault="002E3BC8" w:rsidP="002E3BC8">
      <w:pPr>
        <w:widowControl w:val="0"/>
        <w:autoSpaceDE w:val="0"/>
        <w:autoSpaceDN w:val="0"/>
        <w:adjustRightInd w:val="0"/>
        <w:jc w:val="both"/>
        <w:rPr>
          <w:rFonts w:ascii="Arial" w:hAnsi="Arial" w:cs="Arial"/>
        </w:rPr>
      </w:pPr>
      <w:r>
        <w:rPr>
          <w:rFonts w:ascii="Arial" w:hAnsi="Arial" w:cs="Arial"/>
        </w:rPr>
        <w:t xml:space="preserve">The departmental leadership team within Adult Social Care has consistenly engaged with our partners within the Health and Social Care System to develop and refine our plans. No additional issues equality impacts have been identified from these conversations. </w:t>
      </w:r>
    </w:p>
    <w:p w:rsidR="00CF7A80" w:rsidRDefault="00CF7A80" w:rsidP="00CF7A80">
      <w:pPr>
        <w:pStyle w:val="Heading1"/>
      </w:pPr>
    </w:p>
    <w:p w:rsidR="005E7DC8" w:rsidRPr="005E7DC8" w:rsidRDefault="00512DBA" w:rsidP="00CF7A80">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Pr="002E3BC8" w:rsidRDefault="000705A4" w:rsidP="000705A4">
      <w:pPr>
        <w:rPr>
          <w:rFonts w:ascii="Arial" w:hAnsi="Arial" w:cs="Arial"/>
        </w:rPr>
      </w:pPr>
    </w:p>
    <w:p w:rsidR="004011A5" w:rsidRPr="002E3BC8" w:rsidRDefault="00D83276" w:rsidP="003B47B0">
      <w:pPr>
        <w:numPr>
          <w:ilvl w:val="0"/>
          <w:numId w:val="31"/>
        </w:numPr>
        <w:rPr>
          <w:rFonts w:ascii="Arial" w:hAnsi="Arial" w:cs="Arial"/>
        </w:rPr>
      </w:pPr>
      <w:hyperlink r:id="rId9" w:history="1">
        <w:r w:rsidR="002E3BC8" w:rsidRPr="00E45759">
          <w:rPr>
            <w:rStyle w:val="Hyperlink"/>
            <w:rFonts w:ascii="Arial" w:hAnsi="Arial" w:cs="Arial"/>
          </w:rPr>
          <w:t>Poppi</w:t>
        </w:r>
      </w:hyperlink>
      <w:r w:rsidR="002E3BC8" w:rsidRPr="002E3BC8">
        <w:rPr>
          <w:rFonts w:ascii="Arial" w:hAnsi="Arial" w:cs="Arial"/>
        </w:rPr>
        <w:t xml:space="preserve"> and </w:t>
      </w:r>
      <w:hyperlink r:id="rId10" w:history="1">
        <w:r w:rsidR="002E3BC8" w:rsidRPr="00E45759">
          <w:rPr>
            <w:rStyle w:val="Hyperlink"/>
            <w:rFonts w:ascii="Arial" w:hAnsi="Arial" w:cs="Arial"/>
          </w:rPr>
          <w:t>Pansi</w:t>
        </w:r>
      </w:hyperlink>
      <w:r w:rsidR="002E3BC8" w:rsidRPr="002E3BC8">
        <w:rPr>
          <w:rFonts w:ascii="Arial" w:hAnsi="Arial" w:cs="Arial"/>
        </w:rPr>
        <w:t xml:space="preserve"> data </w:t>
      </w:r>
    </w:p>
    <w:p w:rsidR="002E3BC8" w:rsidRPr="002E3BC8" w:rsidRDefault="002E3BC8" w:rsidP="000705A4">
      <w:pPr>
        <w:rPr>
          <w:rFonts w:ascii="Arial" w:hAnsi="Arial" w:cs="Arial"/>
        </w:rPr>
      </w:pPr>
    </w:p>
    <w:p w:rsidR="002E3BC8" w:rsidRDefault="00D83276" w:rsidP="003B47B0">
      <w:pPr>
        <w:numPr>
          <w:ilvl w:val="0"/>
          <w:numId w:val="31"/>
        </w:numPr>
        <w:rPr>
          <w:rFonts w:ascii="Arial" w:hAnsi="Arial" w:cs="Arial"/>
        </w:rPr>
      </w:pPr>
      <w:hyperlink r:id="rId11" w:history="1">
        <w:r w:rsidR="002E3BC8" w:rsidRPr="00E45759">
          <w:rPr>
            <w:rStyle w:val="Hyperlink"/>
            <w:rFonts w:ascii="Arial" w:hAnsi="Arial" w:cs="Arial"/>
          </w:rPr>
          <w:t>ONS population projections</w:t>
        </w:r>
      </w:hyperlink>
      <w:r w:rsidR="002E3BC8" w:rsidRPr="002E3BC8">
        <w:rPr>
          <w:rFonts w:ascii="Arial" w:hAnsi="Arial" w:cs="Arial"/>
        </w:rPr>
        <w:t>.</w:t>
      </w:r>
    </w:p>
    <w:p w:rsidR="00E45759" w:rsidRDefault="00E45759" w:rsidP="00E45759">
      <w:pPr>
        <w:pStyle w:val="ListParagraph"/>
        <w:rPr>
          <w:rFonts w:ascii="Arial" w:hAnsi="Arial" w:cs="Arial"/>
        </w:rPr>
      </w:pPr>
    </w:p>
    <w:p w:rsidR="00E45759" w:rsidRDefault="00D83276" w:rsidP="003B47B0">
      <w:pPr>
        <w:numPr>
          <w:ilvl w:val="0"/>
          <w:numId w:val="31"/>
        </w:numPr>
        <w:rPr>
          <w:rFonts w:ascii="Arial" w:hAnsi="Arial" w:cs="Arial"/>
        </w:rPr>
      </w:pPr>
      <w:hyperlink r:id="rId12" w:history="1">
        <w:r w:rsidR="00E45759" w:rsidRPr="00E45759">
          <w:rPr>
            <w:rStyle w:val="Hyperlink"/>
            <w:rFonts w:ascii="Arial" w:hAnsi="Arial" w:cs="Arial"/>
          </w:rPr>
          <w:t>Joint Strategic Needs Assessment</w:t>
        </w:r>
      </w:hyperlink>
    </w:p>
    <w:p w:rsidR="003B47B0" w:rsidRDefault="003B47B0" w:rsidP="003B47B0">
      <w:pPr>
        <w:pStyle w:val="ListParagraph"/>
        <w:rPr>
          <w:rFonts w:ascii="Arial" w:hAnsi="Arial" w:cs="Arial"/>
        </w:rPr>
      </w:pPr>
    </w:p>
    <w:p w:rsidR="00F91A2C" w:rsidRDefault="00F91A2C" w:rsidP="00F91A2C">
      <w:pPr>
        <w:pStyle w:val="ListParagraph"/>
        <w:numPr>
          <w:ilvl w:val="0"/>
          <w:numId w:val="31"/>
        </w:numPr>
        <w:rPr>
          <w:rFonts w:ascii="Arial" w:hAnsi="Arial" w:cs="Arial"/>
        </w:rPr>
      </w:pPr>
      <w:r w:rsidRPr="00F91A2C">
        <w:rPr>
          <w:rFonts w:ascii="Arial" w:hAnsi="Arial" w:cs="Arial"/>
        </w:rPr>
        <w:t>Care Act (2014) - implementation and performance monitoring of outcomes for people receiving services (Adult Social Care Outcomes Framework).</w:t>
      </w:r>
    </w:p>
    <w:p w:rsidR="003B47B0" w:rsidRPr="002E3BC8" w:rsidRDefault="00E45759" w:rsidP="003B47B0">
      <w:pPr>
        <w:numPr>
          <w:ilvl w:val="0"/>
          <w:numId w:val="31"/>
        </w:numPr>
        <w:rPr>
          <w:rFonts w:ascii="Arial" w:hAnsi="Arial" w:cs="Arial"/>
        </w:rPr>
      </w:pPr>
      <w:r>
        <w:rPr>
          <w:rFonts w:ascii="Arial" w:hAnsi="Arial" w:cs="Arial"/>
        </w:rPr>
        <w:t xml:space="preserve">Adult Social Care - </w:t>
      </w:r>
      <w:r w:rsidR="003B47B0">
        <w:rPr>
          <w:rFonts w:ascii="Arial" w:hAnsi="Arial" w:cs="Arial"/>
        </w:rPr>
        <w:t>Finance and performance data</w:t>
      </w:r>
    </w:p>
    <w:p w:rsidR="002E3BC8" w:rsidRPr="002E3BC8" w:rsidRDefault="002E3BC8" w:rsidP="000705A4">
      <w:pPr>
        <w:rPr>
          <w:rFonts w:ascii="Arial" w:hAnsi="Arial" w:cs="Arial"/>
        </w:rPr>
      </w:pPr>
    </w:p>
    <w:p w:rsidR="002E3BC8" w:rsidRPr="002E3BC8" w:rsidRDefault="002E3BC8" w:rsidP="003B47B0">
      <w:pPr>
        <w:numPr>
          <w:ilvl w:val="0"/>
          <w:numId w:val="31"/>
        </w:numPr>
        <w:rPr>
          <w:rFonts w:ascii="Arial" w:hAnsi="Arial" w:cs="Arial"/>
        </w:rPr>
      </w:pPr>
      <w:r w:rsidRPr="002E3BC8">
        <w:rPr>
          <w:rFonts w:ascii="Arial" w:hAnsi="Arial" w:cs="Arial"/>
        </w:rPr>
        <w:t>Carers feedback</w:t>
      </w:r>
    </w:p>
    <w:p w:rsidR="002E3BC8" w:rsidRPr="002E3BC8" w:rsidRDefault="002E3BC8" w:rsidP="000705A4">
      <w:pPr>
        <w:rPr>
          <w:rFonts w:ascii="Arial" w:hAnsi="Arial" w:cs="Arial"/>
        </w:rPr>
      </w:pPr>
    </w:p>
    <w:p w:rsidR="002E3BC8" w:rsidRDefault="002E3BC8" w:rsidP="003B47B0">
      <w:pPr>
        <w:numPr>
          <w:ilvl w:val="0"/>
          <w:numId w:val="31"/>
        </w:numPr>
        <w:rPr>
          <w:rFonts w:ascii="Arial" w:hAnsi="Arial" w:cs="Arial"/>
        </w:rPr>
      </w:pPr>
      <w:r w:rsidRPr="002E3BC8">
        <w:rPr>
          <w:rFonts w:ascii="Arial" w:hAnsi="Arial" w:cs="Arial"/>
        </w:rPr>
        <w:t>Service user feedback</w:t>
      </w:r>
    </w:p>
    <w:p w:rsidR="003B47B0" w:rsidRDefault="003B47B0" w:rsidP="000705A4">
      <w:pPr>
        <w:rPr>
          <w:rFonts w:ascii="Arial" w:hAnsi="Arial" w:cs="Arial"/>
        </w:rPr>
      </w:pPr>
    </w:p>
    <w:p w:rsidR="003B47B0" w:rsidRPr="002E3BC8" w:rsidRDefault="003B47B0"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3B47B0" w:rsidRPr="003B47B0" w:rsidRDefault="003B47B0" w:rsidP="003B47B0">
      <w:pPr>
        <w:numPr>
          <w:ilvl w:val="0"/>
          <w:numId w:val="31"/>
        </w:numPr>
        <w:ind w:left="1134"/>
        <w:rPr>
          <w:rFonts w:ascii="Arial" w:hAnsi="Arial" w:cs="Arial"/>
        </w:rPr>
      </w:pPr>
      <w:r w:rsidRPr="003B47B0">
        <w:rPr>
          <w:rFonts w:ascii="Arial" w:hAnsi="Arial" w:cs="Arial"/>
        </w:rPr>
        <w:lastRenderedPageBreak/>
        <w:t xml:space="preserve">Implementation of plans will include </w:t>
      </w:r>
      <w:r>
        <w:rPr>
          <w:rFonts w:ascii="Arial" w:hAnsi="Arial" w:cs="Arial"/>
        </w:rPr>
        <w:t xml:space="preserve">the </w:t>
      </w:r>
      <w:r w:rsidRPr="003B47B0">
        <w:rPr>
          <w:rFonts w:ascii="Arial" w:hAnsi="Arial" w:cs="Arial"/>
        </w:rPr>
        <w:t>involvement of experts by experience including carers throughout the redesign and procurement process.</w:t>
      </w:r>
    </w:p>
    <w:p w:rsidR="000705A4" w:rsidRDefault="003B47B0" w:rsidP="003B47B0">
      <w:pPr>
        <w:numPr>
          <w:ilvl w:val="0"/>
          <w:numId w:val="31"/>
        </w:numPr>
        <w:ind w:left="1134"/>
        <w:rPr>
          <w:rFonts w:ascii="Arial" w:hAnsi="Arial" w:cs="Arial"/>
        </w:rPr>
      </w:pPr>
      <w:r>
        <w:rPr>
          <w:rFonts w:ascii="Arial" w:hAnsi="Arial" w:cs="Arial"/>
        </w:rPr>
        <w:t xml:space="preserve">Ongoing </w:t>
      </w:r>
      <w:r w:rsidRPr="003B47B0">
        <w:rPr>
          <w:rFonts w:ascii="Arial" w:hAnsi="Arial" w:cs="Arial"/>
        </w:rPr>
        <w:t>Performance monitoring of delivery activity</w:t>
      </w:r>
    </w:p>
    <w:p w:rsidR="003B47B0" w:rsidRDefault="003B47B0" w:rsidP="003B47B0">
      <w:pPr>
        <w:numPr>
          <w:ilvl w:val="0"/>
          <w:numId w:val="31"/>
        </w:numPr>
        <w:ind w:left="1134"/>
        <w:rPr>
          <w:rFonts w:ascii="Arial" w:hAnsi="Arial" w:cs="Arial"/>
        </w:rPr>
      </w:pPr>
      <w:r>
        <w:rPr>
          <w:rFonts w:ascii="Arial" w:hAnsi="Arial" w:cs="Arial"/>
        </w:rPr>
        <w:t>Quality assurance review to help monitor the quality of care and practice.</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Pr="005F7B6E" w:rsidRDefault="005F7B6E" w:rsidP="005F7B6E">
      <w:pPr>
        <w:tabs>
          <w:tab w:val="left" w:pos="720"/>
          <w:tab w:val="left" w:pos="1440"/>
          <w:tab w:val="left" w:pos="2160"/>
          <w:tab w:val="left" w:pos="2865"/>
        </w:tabs>
        <w:ind w:left="709"/>
        <w:rPr>
          <w:rFonts w:ascii="Arial" w:hAnsi="Arial" w:cs="Arial"/>
        </w:rPr>
      </w:pPr>
      <w:r w:rsidRPr="005F7B6E">
        <w:rPr>
          <w:rFonts w:ascii="Arial" w:hAnsi="Arial" w:cs="Arial"/>
          <w:i/>
        </w:rPr>
        <w:tab/>
        <w:t>The proposal</w:t>
      </w:r>
      <w:r>
        <w:rPr>
          <w:rFonts w:ascii="Arial" w:hAnsi="Arial" w:cs="Arial"/>
          <w:i/>
        </w:rPr>
        <w:t xml:space="preserve"> will allow increased/improved provision based on </w:t>
      </w:r>
      <w:r w:rsidR="00F91A2C">
        <w:rPr>
          <w:rFonts w:ascii="Arial" w:hAnsi="Arial" w:cs="Arial"/>
          <w:i/>
        </w:rPr>
        <w:t xml:space="preserve">the </w:t>
      </w:r>
      <w:r>
        <w:rPr>
          <w:rFonts w:ascii="Arial" w:hAnsi="Arial" w:cs="Arial"/>
          <w:i/>
        </w:rPr>
        <w:t>assessed need of the client. No consultation has been undertaken, other than the normal feedback mechanisms already in place.</w:t>
      </w:r>
    </w:p>
    <w:p w:rsidR="004011A5" w:rsidRDefault="005F7B6E" w:rsidP="00C40B01">
      <w:pPr>
        <w:rPr>
          <w:rFonts w:ascii="Arial" w:hAnsi="Arial" w:cs="Arial"/>
        </w:rPr>
      </w:pPr>
      <w:r>
        <w:rPr>
          <w:rFonts w:ascii="Arial" w:hAnsi="Arial" w:cs="Arial"/>
        </w:rPr>
        <w:tab/>
      </w: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61" w:rsidRDefault="00C85E61">
      <w:r>
        <w:separator/>
      </w:r>
    </w:p>
  </w:endnote>
  <w:endnote w:type="continuationSeparator" w:id="0">
    <w:p w:rsidR="00C85E61" w:rsidRDefault="00C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F6" w:rsidRDefault="00494FF6"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FF6" w:rsidRDefault="00494F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F6" w:rsidRPr="000C4C70" w:rsidRDefault="00494FF6"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D83276">
      <w:rPr>
        <w:rStyle w:val="PageNumber"/>
        <w:rFonts w:ascii="Arial" w:hAnsi="Arial" w:cs="Arial"/>
        <w:noProof/>
        <w:sz w:val="20"/>
        <w:szCs w:val="20"/>
      </w:rPr>
      <w:t>1</w:t>
    </w:r>
    <w:r w:rsidRPr="000C4C70">
      <w:rPr>
        <w:rStyle w:val="PageNumber"/>
        <w:rFonts w:ascii="Arial" w:hAnsi="Arial" w:cs="Arial"/>
        <w:sz w:val="20"/>
        <w:szCs w:val="20"/>
      </w:rPr>
      <w:fldChar w:fldCharType="end"/>
    </w:r>
  </w:p>
  <w:p w:rsidR="00494FF6" w:rsidRDefault="00494F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FC" w:rsidRDefault="00AB5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61" w:rsidRDefault="00C85E61">
      <w:r>
        <w:separator/>
      </w:r>
    </w:p>
  </w:footnote>
  <w:footnote w:type="continuationSeparator" w:id="0">
    <w:p w:rsidR="00C85E61" w:rsidRDefault="00C85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FC" w:rsidRDefault="00AB54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FC" w:rsidRDefault="00AB54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FC" w:rsidRDefault="00AB54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340"/>
    <w:multiLevelType w:val="hybridMultilevel"/>
    <w:tmpl w:val="82F0C2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881589"/>
    <w:multiLevelType w:val="hybridMultilevel"/>
    <w:tmpl w:val="B7F2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5"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5F26653"/>
    <w:multiLevelType w:val="hybridMultilevel"/>
    <w:tmpl w:val="0E261464"/>
    <w:lvl w:ilvl="0" w:tplc="08090001">
      <w:start w:val="1"/>
      <w:numFmt w:val="bullet"/>
      <w:lvlText w:val=""/>
      <w:lvlJc w:val="left"/>
      <w:pPr>
        <w:ind w:left="720" w:hanging="360"/>
      </w:pPr>
      <w:rPr>
        <w:rFonts w:ascii="Symbol" w:hAnsi="Symbol" w:hint="default"/>
      </w:rPr>
    </w:lvl>
    <w:lvl w:ilvl="1" w:tplc="A53096D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426E2"/>
    <w:multiLevelType w:val="hybridMultilevel"/>
    <w:tmpl w:val="D6E6F766"/>
    <w:lvl w:ilvl="0" w:tplc="B868FBB4">
      <w:start w:val="1"/>
      <w:numFmt w:val="bullet"/>
      <w:lvlText w:val="•"/>
      <w:lvlJc w:val="left"/>
      <w:pPr>
        <w:tabs>
          <w:tab w:val="num" w:pos="720"/>
        </w:tabs>
        <w:ind w:left="720" w:hanging="360"/>
      </w:pPr>
      <w:rPr>
        <w:rFonts w:ascii="Arial" w:hAnsi="Arial" w:hint="default"/>
      </w:rPr>
    </w:lvl>
    <w:lvl w:ilvl="1" w:tplc="C276E16C" w:tentative="1">
      <w:start w:val="1"/>
      <w:numFmt w:val="bullet"/>
      <w:lvlText w:val="•"/>
      <w:lvlJc w:val="left"/>
      <w:pPr>
        <w:tabs>
          <w:tab w:val="num" w:pos="1440"/>
        </w:tabs>
        <w:ind w:left="1440" w:hanging="360"/>
      </w:pPr>
      <w:rPr>
        <w:rFonts w:ascii="Arial" w:hAnsi="Arial" w:hint="default"/>
      </w:rPr>
    </w:lvl>
    <w:lvl w:ilvl="2" w:tplc="A6103514" w:tentative="1">
      <w:start w:val="1"/>
      <w:numFmt w:val="bullet"/>
      <w:lvlText w:val="•"/>
      <w:lvlJc w:val="left"/>
      <w:pPr>
        <w:tabs>
          <w:tab w:val="num" w:pos="2160"/>
        </w:tabs>
        <w:ind w:left="2160" w:hanging="360"/>
      </w:pPr>
      <w:rPr>
        <w:rFonts w:ascii="Arial" w:hAnsi="Arial" w:hint="default"/>
      </w:rPr>
    </w:lvl>
    <w:lvl w:ilvl="3" w:tplc="9FD427EC" w:tentative="1">
      <w:start w:val="1"/>
      <w:numFmt w:val="bullet"/>
      <w:lvlText w:val="•"/>
      <w:lvlJc w:val="left"/>
      <w:pPr>
        <w:tabs>
          <w:tab w:val="num" w:pos="2880"/>
        </w:tabs>
        <w:ind w:left="2880" w:hanging="360"/>
      </w:pPr>
      <w:rPr>
        <w:rFonts w:ascii="Arial" w:hAnsi="Arial" w:hint="default"/>
      </w:rPr>
    </w:lvl>
    <w:lvl w:ilvl="4" w:tplc="E53AA5AE" w:tentative="1">
      <w:start w:val="1"/>
      <w:numFmt w:val="bullet"/>
      <w:lvlText w:val="•"/>
      <w:lvlJc w:val="left"/>
      <w:pPr>
        <w:tabs>
          <w:tab w:val="num" w:pos="3600"/>
        </w:tabs>
        <w:ind w:left="3600" w:hanging="360"/>
      </w:pPr>
      <w:rPr>
        <w:rFonts w:ascii="Arial" w:hAnsi="Arial" w:hint="default"/>
      </w:rPr>
    </w:lvl>
    <w:lvl w:ilvl="5" w:tplc="74E29F2E" w:tentative="1">
      <w:start w:val="1"/>
      <w:numFmt w:val="bullet"/>
      <w:lvlText w:val="•"/>
      <w:lvlJc w:val="left"/>
      <w:pPr>
        <w:tabs>
          <w:tab w:val="num" w:pos="4320"/>
        </w:tabs>
        <w:ind w:left="4320" w:hanging="360"/>
      </w:pPr>
      <w:rPr>
        <w:rFonts w:ascii="Arial" w:hAnsi="Arial" w:hint="default"/>
      </w:rPr>
    </w:lvl>
    <w:lvl w:ilvl="6" w:tplc="2B409E56" w:tentative="1">
      <w:start w:val="1"/>
      <w:numFmt w:val="bullet"/>
      <w:lvlText w:val="•"/>
      <w:lvlJc w:val="left"/>
      <w:pPr>
        <w:tabs>
          <w:tab w:val="num" w:pos="5040"/>
        </w:tabs>
        <w:ind w:left="5040" w:hanging="360"/>
      </w:pPr>
      <w:rPr>
        <w:rFonts w:ascii="Arial" w:hAnsi="Arial" w:hint="default"/>
      </w:rPr>
    </w:lvl>
    <w:lvl w:ilvl="7" w:tplc="B2F4DCD0" w:tentative="1">
      <w:start w:val="1"/>
      <w:numFmt w:val="bullet"/>
      <w:lvlText w:val="•"/>
      <w:lvlJc w:val="left"/>
      <w:pPr>
        <w:tabs>
          <w:tab w:val="num" w:pos="5760"/>
        </w:tabs>
        <w:ind w:left="5760" w:hanging="360"/>
      </w:pPr>
      <w:rPr>
        <w:rFonts w:ascii="Arial" w:hAnsi="Arial" w:hint="default"/>
      </w:rPr>
    </w:lvl>
    <w:lvl w:ilvl="8" w:tplc="AE103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876682"/>
    <w:multiLevelType w:val="hybridMultilevel"/>
    <w:tmpl w:val="38B4C72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6B9327D"/>
    <w:multiLevelType w:val="hybridMultilevel"/>
    <w:tmpl w:val="5CC460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F90702F"/>
    <w:multiLevelType w:val="hybridMultilevel"/>
    <w:tmpl w:val="1E90E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92375C"/>
    <w:multiLevelType w:val="hybridMultilevel"/>
    <w:tmpl w:val="190E80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294F15"/>
    <w:multiLevelType w:val="hybridMultilevel"/>
    <w:tmpl w:val="393AE6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8D4241"/>
    <w:multiLevelType w:val="hybridMultilevel"/>
    <w:tmpl w:val="D19A7C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12F65"/>
    <w:multiLevelType w:val="hybridMultilevel"/>
    <w:tmpl w:val="C9461678"/>
    <w:lvl w:ilvl="0" w:tplc="434C24D0">
      <w:start w:val="1"/>
      <w:numFmt w:val="bullet"/>
      <w:lvlText w:val="•"/>
      <w:lvlJc w:val="left"/>
      <w:pPr>
        <w:tabs>
          <w:tab w:val="num" w:pos="720"/>
        </w:tabs>
        <w:ind w:left="720" w:hanging="360"/>
      </w:pPr>
      <w:rPr>
        <w:rFonts w:ascii="Arial" w:hAnsi="Arial" w:hint="default"/>
      </w:rPr>
    </w:lvl>
    <w:lvl w:ilvl="1" w:tplc="BC2099AC" w:tentative="1">
      <w:start w:val="1"/>
      <w:numFmt w:val="bullet"/>
      <w:lvlText w:val="•"/>
      <w:lvlJc w:val="left"/>
      <w:pPr>
        <w:tabs>
          <w:tab w:val="num" w:pos="1440"/>
        </w:tabs>
        <w:ind w:left="1440" w:hanging="360"/>
      </w:pPr>
      <w:rPr>
        <w:rFonts w:ascii="Arial" w:hAnsi="Arial" w:hint="default"/>
      </w:rPr>
    </w:lvl>
    <w:lvl w:ilvl="2" w:tplc="D6D4081C" w:tentative="1">
      <w:start w:val="1"/>
      <w:numFmt w:val="bullet"/>
      <w:lvlText w:val="•"/>
      <w:lvlJc w:val="left"/>
      <w:pPr>
        <w:tabs>
          <w:tab w:val="num" w:pos="2160"/>
        </w:tabs>
        <w:ind w:left="2160" w:hanging="360"/>
      </w:pPr>
      <w:rPr>
        <w:rFonts w:ascii="Arial" w:hAnsi="Arial" w:hint="default"/>
      </w:rPr>
    </w:lvl>
    <w:lvl w:ilvl="3" w:tplc="90AA397E" w:tentative="1">
      <w:start w:val="1"/>
      <w:numFmt w:val="bullet"/>
      <w:lvlText w:val="•"/>
      <w:lvlJc w:val="left"/>
      <w:pPr>
        <w:tabs>
          <w:tab w:val="num" w:pos="2880"/>
        </w:tabs>
        <w:ind w:left="2880" w:hanging="360"/>
      </w:pPr>
      <w:rPr>
        <w:rFonts w:ascii="Arial" w:hAnsi="Arial" w:hint="default"/>
      </w:rPr>
    </w:lvl>
    <w:lvl w:ilvl="4" w:tplc="FFBA261A" w:tentative="1">
      <w:start w:val="1"/>
      <w:numFmt w:val="bullet"/>
      <w:lvlText w:val="•"/>
      <w:lvlJc w:val="left"/>
      <w:pPr>
        <w:tabs>
          <w:tab w:val="num" w:pos="3600"/>
        </w:tabs>
        <w:ind w:left="3600" w:hanging="360"/>
      </w:pPr>
      <w:rPr>
        <w:rFonts w:ascii="Arial" w:hAnsi="Arial" w:hint="default"/>
      </w:rPr>
    </w:lvl>
    <w:lvl w:ilvl="5" w:tplc="080E4D10" w:tentative="1">
      <w:start w:val="1"/>
      <w:numFmt w:val="bullet"/>
      <w:lvlText w:val="•"/>
      <w:lvlJc w:val="left"/>
      <w:pPr>
        <w:tabs>
          <w:tab w:val="num" w:pos="4320"/>
        </w:tabs>
        <w:ind w:left="4320" w:hanging="360"/>
      </w:pPr>
      <w:rPr>
        <w:rFonts w:ascii="Arial" w:hAnsi="Arial" w:hint="default"/>
      </w:rPr>
    </w:lvl>
    <w:lvl w:ilvl="6" w:tplc="C3A298FE" w:tentative="1">
      <w:start w:val="1"/>
      <w:numFmt w:val="bullet"/>
      <w:lvlText w:val="•"/>
      <w:lvlJc w:val="left"/>
      <w:pPr>
        <w:tabs>
          <w:tab w:val="num" w:pos="5040"/>
        </w:tabs>
        <w:ind w:left="5040" w:hanging="360"/>
      </w:pPr>
      <w:rPr>
        <w:rFonts w:ascii="Arial" w:hAnsi="Arial" w:hint="default"/>
      </w:rPr>
    </w:lvl>
    <w:lvl w:ilvl="7" w:tplc="C02CF87C" w:tentative="1">
      <w:start w:val="1"/>
      <w:numFmt w:val="bullet"/>
      <w:lvlText w:val="•"/>
      <w:lvlJc w:val="left"/>
      <w:pPr>
        <w:tabs>
          <w:tab w:val="num" w:pos="5760"/>
        </w:tabs>
        <w:ind w:left="5760" w:hanging="360"/>
      </w:pPr>
      <w:rPr>
        <w:rFonts w:ascii="Arial" w:hAnsi="Arial" w:hint="default"/>
      </w:rPr>
    </w:lvl>
    <w:lvl w:ilvl="8" w:tplc="73E459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30" w15:restartNumberingAfterBreak="0">
    <w:nsid w:val="73030F45"/>
    <w:multiLevelType w:val="hybridMultilevel"/>
    <w:tmpl w:val="1CD80A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6"/>
  </w:num>
  <w:num w:numId="5">
    <w:abstractNumId w:val="29"/>
  </w:num>
  <w:num w:numId="6">
    <w:abstractNumId w:val="16"/>
  </w:num>
  <w:num w:numId="7">
    <w:abstractNumId w:val="32"/>
  </w:num>
  <w:num w:numId="8">
    <w:abstractNumId w:val="18"/>
  </w:num>
  <w:num w:numId="9">
    <w:abstractNumId w:val="7"/>
  </w:num>
  <w:num w:numId="10">
    <w:abstractNumId w:val="21"/>
  </w:num>
  <w:num w:numId="11">
    <w:abstractNumId w:val="12"/>
  </w:num>
  <w:num w:numId="12">
    <w:abstractNumId w:val="20"/>
  </w:num>
  <w:num w:numId="13">
    <w:abstractNumId w:val="5"/>
  </w:num>
  <w:num w:numId="14">
    <w:abstractNumId w:val="13"/>
  </w:num>
  <w:num w:numId="15">
    <w:abstractNumId w:val="4"/>
  </w:num>
  <w:num w:numId="16">
    <w:abstractNumId w:val="27"/>
  </w:num>
  <w:num w:numId="17">
    <w:abstractNumId w:val="15"/>
  </w:num>
  <w:num w:numId="18">
    <w:abstractNumId w:val="17"/>
  </w:num>
  <w:num w:numId="19">
    <w:abstractNumId w:val="25"/>
  </w:num>
  <w:num w:numId="20">
    <w:abstractNumId w:val="3"/>
  </w:num>
  <w:num w:numId="21">
    <w:abstractNumId w:val="31"/>
  </w:num>
  <w:num w:numId="22">
    <w:abstractNumId w:val="26"/>
  </w:num>
  <w:num w:numId="23">
    <w:abstractNumId w:val="0"/>
  </w:num>
  <w:num w:numId="24">
    <w:abstractNumId w:val="14"/>
  </w:num>
  <w:num w:numId="25">
    <w:abstractNumId w:val="24"/>
  </w:num>
  <w:num w:numId="26">
    <w:abstractNumId w:val="23"/>
  </w:num>
  <w:num w:numId="27">
    <w:abstractNumId w:val="30"/>
  </w:num>
  <w:num w:numId="28">
    <w:abstractNumId w:val="19"/>
  </w:num>
  <w:num w:numId="29">
    <w:abstractNumId w:val="10"/>
  </w:num>
  <w:num w:numId="30">
    <w:abstractNumId w:val="28"/>
  </w:num>
  <w:num w:numId="31">
    <w:abstractNumId w:val="9"/>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672E5"/>
    <w:rsid w:val="000705A4"/>
    <w:rsid w:val="000B4884"/>
    <w:rsid w:val="000C4C70"/>
    <w:rsid w:val="000D35A4"/>
    <w:rsid w:val="000D6D03"/>
    <w:rsid w:val="000E0FC6"/>
    <w:rsid w:val="000F6658"/>
    <w:rsid w:val="000F6FD7"/>
    <w:rsid w:val="001063EB"/>
    <w:rsid w:val="00124AFA"/>
    <w:rsid w:val="00172FA0"/>
    <w:rsid w:val="001A2A4E"/>
    <w:rsid w:val="001A48E4"/>
    <w:rsid w:val="001A5BC3"/>
    <w:rsid w:val="001A642F"/>
    <w:rsid w:val="001A7399"/>
    <w:rsid w:val="001B0349"/>
    <w:rsid w:val="001B5907"/>
    <w:rsid w:val="001B6DD8"/>
    <w:rsid w:val="001C02C6"/>
    <w:rsid w:val="001C101F"/>
    <w:rsid w:val="001C4C74"/>
    <w:rsid w:val="001D70CB"/>
    <w:rsid w:val="001E6904"/>
    <w:rsid w:val="0021115A"/>
    <w:rsid w:val="00252447"/>
    <w:rsid w:val="00262408"/>
    <w:rsid w:val="00270215"/>
    <w:rsid w:val="00272189"/>
    <w:rsid w:val="0027749A"/>
    <w:rsid w:val="00281E41"/>
    <w:rsid w:val="00285A46"/>
    <w:rsid w:val="002876D2"/>
    <w:rsid w:val="00292ED9"/>
    <w:rsid w:val="002B692D"/>
    <w:rsid w:val="002C50F7"/>
    <w:rsid w:val="002D1C69"/>
    <w:rsid w:val="002E3BC8"/>
    <w:rsid w:val="0030130F"/>
    <w:rsid w:val="003103FC"/>
    <w:rsid w:val="00323756"/>
    <w:rsid w:val="00336099"/>
    <w:rsid w:val="00353ADE"/>
    <w:rsid w:val="0036343A"/>
    <w:rsid w:val="0037765F"/>
    <w:rsid w:val="003804B7"/>
    <w:rsid w:val="0038051D"/>
    <w:rsid w:val="003809F0"/>
    <w:rsid w:val="0038543D"/>
    <w:rsid w:val="003A46F9"/>
    <w:rsid w:val="003B47B0"/>
    <w:rsid w:val="003D7800"/>
    <w:rsid w:val="003E0626"/>
    <w:rsid w:val="004011A5"/>
    <w:rsid w:val="00404DC7"/>
    <w:rsid w:val="00404F62"/>
    <w:rsid w:val="00405BC7"/>
    <w:rsid w:val="00423485"/>
    <w:rsid w:val="0044376B"/>
    <w:rsid w:val="00467A3A"/>
    <w:rsid w:val="00472EF6"/>
    <w:rsid w:val="004804CE"/>
    <w:rsid w:val="00484F29"/>
    <w:rsid w:val="00491786"/>
    <w:rsid w:val="00494FF6"/>
    <w:rsid w:val="004A061B"/>
    <w:rsid w:val="004A2087"/>
    <w:rsid w:val="004A5C0B"/>
    <w:rsid w:val="004B6240"/>
    <w:rsid w:val="004C6D65"/>
    <w:rsid w:val="004C76A7"/>
    <w:rsid w:val="004D473F"/>
    <w:rsid w:val="004F429F"/>
    <w:rsid w:val="0050320E"/>
    <w:rsid w:val="0051028C"/>
    <w:rsid w:val="00512DBA"/>
    <w:rsid w:val="00512EDE"/>
    <w:rsid w:val="005350A6"/>
    <w:rsid w:val="00540730"/>
    <w:rsid w:val="005416FF"/>
    <w:rsid w:val="00567244"/>
    <w:rsid w:val="005757FF"/>
    <w:rsid w:val="005824F4"/>
    <w:rsid w:val="005875A5"/>
    <w:rsid w:val="005A175F"/>
    <w:rsid w:val="005A7B75"/>
    <w:rsid w:val="005C4739"/>
    <w:rsid w:val="005C6181"/>
    <w:rsid w:val="005E14DD"/>
    <w:rsid w:val="005E3FC0"/>
    <w:rsid w:val="005E7DC8"/>
    <w:rsid w:val="005F1051"/>
    <w:rsid w:val="005F7267"/>
    <w:rsid w:val="005F7B6E"/>
    <w:rsid w:val="00603197"/>
    <w:rsid w:val="00607D1D"/>
    <w:rsid w:val="0062128B"/>
    <w:rsid w:val="00654409"/>
    <w:rsid w:val="006935F4"/>
    <w:rsid w:val="00693ADB"/>
    <w:rsid w:val="006B48F1"/>
    <w:rsid w:val="006C6962"/>
    <w:rsid w:val="006E0E9A"/>
    <w:rsid w:val="006E2024"/>
    <w:rsid w:val="006E6FD4"/>
    <w:rsid w:val="006F2E56"/>
    <w:rsid w:val="006F7B5F"/>
    <w:rsid w:val="00702728"/>
    <w:rsid w:val="007214AD"/>
    <w:rsid w:val="00732F42"/>
    <w:rsid w:val="007465A1"/>
    <w:rsid w:val="00746F8F"/>
    <w:rsid w:val="00765BAD"/>
    <w:rsid w:val="00785C3E"/>
    <w:rsid w:val="007B1C39"/>
    <w:rsid w:val="007C71DF"/>
    <w:rsid w:val="007D3C08"/>
    <w:rsid w:val="007F05CB"/>
    <w:rsid w:val="00823C07"/>
    <w:rsid w:val="00830AB2"/>
    <w:rsid w:val="00857A35"/>
    <w:rsid w:val="00863F32"/>
    <w:rsid w:val="008641CF"/>
    <w:rsid w:val="00875320"/>
    <w:rsid w:val="00892ADB"/>
    <w:rsid w:val="00894401"/>
    <w:rsid w:val="008B286A"/>
    <w:rsid w:val="008B6409"/>
    <w:rsid w:val="008D4D12"/>
    <w:rsid w:val="008F247C"/>
    <w:rsid w:val="0090057B"/>
    <w:rsid w:val="00920F80"/>
    <w:rsid w:val="00924AAC"/>
    <w:rsid w:val="009422BC"/>
    <w:rsid w:val="0094497A"/>
    <w:rsid w:val="00951D8F"/>
    <w:rsid w:val="009643BC"/>
    <w:rsid w:val="009900CA"/>
    <w:rsid w:val="00993C6B"/>
    <w:rsid w:val="009A174D"/>
    <w:rsid w:val="009B40E0"/>
    <w:rsid w:val="009B69B7"/>
    <w:rsid w:val="009C714C"/>
    <w:rsid w:val="009E0C93"/>
    <w:rsid w:val="009F1A1F"/>
    <w:rsid w:val="009F341F"/>
    <w:rsid w:val="00A031F1"/>
    <w:rsid w:val="00A17BB4"/>
    <w:rsid w:val="00A3440E"/>
    <w:rsid w:val="00A36267"/>
    <w:rsid w:val="00A4373C"/>
    <w:rsid w:val="00A70E3E"/>
    <w:rsid w:val="00AB3D62"/>
    <w:rsid w:val="00AB54FC"/>
    <w:rsid w:val="00AB75EE"/>
    <w:rsid w:val="00AF20EF"/>
    <w:rsid w:val="00B3497C"/>
    <w:rsid w:val="00B466C7"/>
    <w:rsid w:val="00B87831"/>
    <w:rsid w:val="00B934A9"/>
    <w:rsid w:val="00B96CB7"/>
    <w:rsid w:val="00BA5851"/>
    <w:rsid w:val="00BB2135"/>
    <w:rsid w:val="00BC0429"/>
    <w:rsid w:val="00BE434F"/>
    <w:rsid w:val="00BE5E5C"/>
    <w:rsid w:val="00BF27BA"/>
    <w:rsid w:val="00BF4570"/>
    <w:rsid w:val="00C0063F"/>
    <w:rsid w:val="00C05493"/>
    <w:rsid w:val="00C1127B"/>
    <w:rsid w:val="00C14541"/>
    <w:rsid w:val="00C24B82"/>
    <w:rsid w:val="00C26E90"/>
    <w:rsid w:val="00C356A8"/>
    <w:rsid w:val="00C37477"/>
    <w:rsid w:val="00C37C87"/>
    <w:rsid w:val="00C40B01"/>
    <w:rsid w:val="00C40C46"/>
    <w:rsid w:val="00C44B26"/>
    <w:rsid w:val="00C51AB0"/>
    <w:rsid w:val="00C7305C"/>
    <w:rsid w:val="00C843C7"/>
    <w:rsid w:val="00C85E61"/>
    <w:rsid w:val="00C901EA"/>
    <w:rsid w:val="00CB3ECA"/>
    <w:rsid w:val="00CE5FC0"/>
    <w:rsid w:val="00CF0AAD"/>
    <w:rsid w:val="00CF1EC6"/>
    <w:rsid w:val="00CF7A80"/>
    <w:rsid w:val="00D13221"/>
    <w:rsid w:val="00D17E10"/>
    <w:rsid w:val="00D24130"/>
    <w:rsid w:val="00D473B8"/>
    <w:rsid w:val="00D81901"/>
    <w:rsid w:val="00D83276"/>
    <w:rsid w:val="00DA6A0F"/>
    <w:rsid w:val="00DC34D1"/>
    <w:rsid w:val="00DD2340"/>
    <w:rsid w:val="00DE3D27"/>
    <w:rsid w:val="00DE56FE"/>
    <w:rsid w:val="00DF1CA9"/>
    <w:rsid w:val="00E17872"/>
    <w:rsid w:val="00E37A93"/>
    <w:rsid w:val="00E37BF6"/>
    <w:rsid w:val="00E42B63"/>
    <w:rsid w:val="00E44C45"/>
    <w:rsid w:val="00E45759"/>
    <w:rsid w:val="00E60D5C"/>
    <w:rsid w:val="00E80B7A"/>
    <w:rsid w:val="00E82A09"/>
    <w:rsid w:val="00E87FFE"/>
    <w:rsid w:val="00EA7D36"/>
    <w:rsid w:val="00EB267E"/>
    <w:rsid w:val="00ED2926"/>
    <w:rsid w:val="00ED300B"/>
    <w:rsid w:val="00ED36F1"/>
    <w:rsid w:val="00EF5E5F"/>
    <w:rsid w:val="00F2035A"/>
    <w:rsid w:val="00F27BFB"/>
    <w:rsid w:val="00F32E08"/>
    <w:rsid w:val="00F458BD"/>
    <w:rsid w:val="00F478D7"/>
    <w:rsid w:val="00F60B2D"/>
    <w:rsid w:val="00F812EB"/>
    <w:rsid w:val="00F91A2C"/>
    <w:rsid w:val="00FB0CA4"/>
    <w:rsid w:val="00FB69D3"/>
    <w:rsid w:val="00FC41D6"/>
    <w:rsid w:val="00FE034B"/>
    <w:rsid w:val="00FE21C2"/>
    <w:rsid w:val="00FE2307"/>
    <w:rsid w:val="00FE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NormalWeb">
    <w:name w:val="Normal (Web)"/>
    <w:basedOn w:val="Normal"/>
    <w:uiPriority w:val="99"/>
    <w:unhideWhenUsed/>
    <w:rsid w:val="00C44B26"/>
    <w:pPr>
      <w:spacing w:before="100" w:beforeAutospacing="1" w:after="100" w:afterAutospacing="1"/>
    </w:pPr>
  </w:style>
  <w:style w:type="paragraph" w:styleId="ListParagraph">
    <w:name w:val="List Paragraph"/>
    <w:basedOn w:val="Normal"/>
    <w:uiPriority w:val="34"/>
    <w:qFormat/>
    <w:rsid w:val="001A48E4"/>
    <w:pPr>
      <w:spacing w:after="160" w:line="256" w:lineRule="auto"/>
      <w:ind w:left="720"/>
      <w:contextualSpacing/>
    </w:pPr>
    <w:rPr>
      <w:rFonts w:ascii="Calibri" w:eastAsia="Calibri" w:hAnsi="Calibri"/>
      <w:sz w:val="22"/>
      <w:szCs w:val="22"/>
      <w:lang w:eastAsia="en-US"/>
    </w:rPr>
  </w:style>
  <w:style w:type="table" w:styleId="GridTable2-Accent1">
    <w:name w:val="Grid Table 2 Accent 1"/>
    <w:basedOn w:val="TableNormal"/>
    <w:uiPriority w:val="47"/>
    <w:rsid w:val="008D4D1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78472">
      <w:bodyDiv w:val="1"/>
      <w:marLeft w:val="0"/>
      <w:marRight w:val="0"/>
      <w:marTop w:val="0"/>
      <w:marBottom w:val="0"/>
      <w:divBdr>
        <w:top w:val="none" w:sz="0" w:space="0" w:color="auto"/>
        <w:left w:val="none" w:sz="0" w:space="0" w:color="auto"/>
        <w:bottom w:val="none" w:sz="0" w:space="0" w:color="auto"/>
        <w:right w:val="none" w:sz="0" w:space="0" w:color="auto"/>
      </w:divBdr>
    </w:div>
    <w:div w:id="719014714">
      <w:bodyDiv w:val="1"/>
      <w:marLeft w:val="0"/>
      <w:marRight w:val="0"/>
      <w:marTop w:val="0"/>
      <w:marBottom w:val="0"/>
      <w:divBdr>
        <w:top w:val="none" w:sz="0" w:space="0" w:color="auto"/>
        <w:left w:val="none" w:sz="0" w:space="0" w:color="auto"/>
        <w:bottom w:val="none" w:sz="0" w:space="0" w:color="auto"/>
        <w:right w:val="none" w:sz="0" w:space="0" w:color="auto"/>
      </w:divBdr>
      <w:divsChild>
        <w:div w:id="102306916">
          <w:marLeft w:val="274"/>
          <w:marRight w:val="0"/>
          <w:marTop w:val="0"/>
          <w:marBottom w:val="0"/>
          <w:divBdr>
            <w:top w:val="none" w:sz="0" w:space="0" w:color="auto"/>
            <w:left w:val="none" w:sz="0" w:space="0" w:color="auto"/>
            <w:bottom w:val="none" w:sz="0" w:space="0" w:color="auto"/>
            <w:right w:val="none" w:sz="0" w:space="0" w:color="auto"/>
          </w:divBdr>
        </w:div>
        <w:div w:id="363943477">
          <w:marLeft w:val="274"/>
          <w:marRight w:val="0"/>
          <w:marTop w:val="0"/>
          <w:marBottom w:val="0"/>
          <w:divBdr>
            <w:top w:val="none" w:sz="0" w:space="0" w:color="auto"/>
            <w:left w:val="none" w:sz="0" w:space="0" w:color="auto"/>
            <w:bottom w:val="none" w:sz="0" w:space="0" w:color="auto"/>
            <w:right w:val="none" w:sz="0" w:space="0" w:color="auto"/>
          </w:divBdr>
        </w:div>
        <w:div w:id="378749124">
          <w:marLeft w:val="274"/>
          <w:marRight w:val="0"/>
          <w:marTop w:val="0"/>
          <w:marBottom w:val="0"/>
          <w:divBdr>
            <w:top w:val="none" w:sz="0" w:space="0" w:color="auto"/>
            <w:left w:val="none" w:sz="0" w:space="0" w:color="auto"/>
            <w:bottom w:val="none" w:sz="0" w:space="0" w:color="auto"/>
            <w:right w:val="none" w:sz="0" w:space="0" w:color="auto"/>
          </w:divBdr>
        </w:div>
        <w:div w:id="510223341">
          <w:marLeft w:val="274"/>
          <w:marRight w:val="0"/>
          <w:marTop w:val="0"/>
          <w:marBottom w:val="0"/>
          <w:divBdr>
            <w:top w:val="none" w:sz="0" w:space="0" w:color="auto"/>
            <w:left w:val="none" w:sz="0" w:space="0" w:color="auto"/>
            <w:bottom w:val="none" w:sz="0" w:space="0" w:color="auto"/>
            <w:right w:val="none" w:sz="0" w:space="0" w:color="auto"/>
          </w:divBdr>
        </w:div>
        <w:div w:id="815604277">
          <w:marLeft w:val="274"/>
          <w:marRight w:val="0"/>
          <w:marTop w:val="0"/>
          <w:marBottom w:val="0"/>
          <w:divBdr>
            <w:top w:val="none" w:sz="0" w:space="0" w:color="auto"/>
            <w:left w:val="none" w:sz="0" w:space="0" w:color="auto"/>
            <w:bottom w:val="none" w:sz="0" w:space="0" w:color="auto"/>
            <w:right w:val="none" w:sz="0" w:space="0" w:color="auto"/>
          </w:divBdr>
        </w:div>
        <w:div w:id="1017270284">
          <w:marLeft w:val="274"/>
          <w:marRight w:val="0"/>
          <w:marTop w:val="0"/>
          <w:marBottom w:val="0"/>
          <w:divBdr>
            <w:top w:val="none" w:sz="0" w:space="0" w:color="auto"/>
            <w:left w:val="none" w:sz="0" w:space="0" w:color="auto"/>
            <w:bottom w:val="none" w:sz="0" w:space="0" w:color="auto"/>
            <w:right w:val="none" w:sz="0" w:space="0" w:color="auto"/>
          </w:divBdr>
        </w:div>
        <w:div w:id="1247223417">
          <w:marLeft w:val="274"/>
          <w:marRight w:val="0"/>
          <w:marTop w:val="0"/>
          <w:marBottom w:val="0"/>
          <w:divBdr>
            <w:top w:val="none" w:sz="0" w:space="0" w:color="auto"/>
            <w:left w:val="none" w:sz="0" w:space="0" w:color="auto"/>
            <w:bottom w:val="none" w:sz="0" w:space="0" w:color="auto"/>
            <w:right w:val="none" w:sz="0" w:space="0" w:color="auto"/>
          </w:divBdr>
        </w:div>
        <w:div w:id="1277297113">
          <w:marLeft w:val="274"/>
          <w:marRight w:val="0"/>
          <w:marTop w:val="0"/>
          <w:marBottom w:val="0"/>
          <w:divBdr>
            <w:top w:val="none" w:sz="0" w:space="0" w:color="auto"/>
            <w:left w:val="none" w:sz="0" w:space="0" w:color="auto"/>
            <w:bottom w:val="none" w:sz="0" w:space="0" w:color="auto"/>
            <w:right w:val="none" w:sz="0" w:space="0" w:color="auto"/>
          </w:divBdr>
        </w:div>
        <w:div w:id="1884828563">
          <w:marLeft w:val="274"/>
          <w:marRight w:val="0"/>
          <w:marTop w:val="0"/>
          <w:marBottom w:val="0"/>
          <w:divBdr>
            <w:top w:val="none" w:sz="0" w:space="0" w:color="auto"/>
            <w:left w:val="none" w:sz="0" w:space="0" w:color="auto"/>
            <w:bottom w:val="none" w:sz="0" w:space="0" w:color="auto"/>
            <w:right w:val="none" w:sz="0" w:space="0" w:color="auto"/>
          </w:divBdr>
        </w:div>
        <w:div w:id="2123567719">
          <w:marLeft w:val="274"/>
          <w:marRight w:val="0"/>
          <w:marTop w:val="0"/>
          <w:marBottom w:val="0"/>
          <w:divBdr>
            <w:top w:val="none" w:sz="0" w:space="0" w:color="auto"/>
            <w:left w:val="none" w:sz="0" w:space="0" w:color="auto"/>
            <w:bottom w:val="none" w:sz="0" w:space="0" w:color="auto"/>
            <w:right w:val="none" w:sz="0" w:space="0" w:color="auto"/>
          </w:divBdr>
        </w:div>
      </w:divsChild>
    </w:div>
    <w:div w:id="20364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na.bradford.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populationandmigration/populationprojec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nsi.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ppi.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E1A9364-F006-43BC-91AA-F21EA8821D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8986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Links>
    <vt:vector size="24" baseType="variant">
      <vt:variant>
        <vt:i4>1048595</vt:i4>
      </vt:variant>
      <vt:variant>
        <vt:i4>12</vt:i4>
      </vt:variant>
      <vt:variant>
        <vt:i4>0</vt:i4>
      </vt:variant>
      <vt:variant>
        <vt:i4>5</vt:i4>
      </vt:variant>
      <vt:variant>
        <vt:lpwstr>https://jsna.bradford.gov.uk/</vt:lpwstr>
      </vt:variant>
      <vt:variant>
        <vt:lpwstr/>
      </vt:variant>
      <vt:variant>
        <vt:i4>983107</vt:i4>
      </vt:variant>
      <vt:variant>
        <vt:i4>9</vt:i4>
      </vt:variant>
      <vt:variant>
        <vt:i4>0</vt:i4>
      </vt:variant>
      <vt:variant>
        <vt:i4>5</vt:i4>
      </vt:variant>
      <vt:variant>
        <vt:lpwstr>https://www.ons.gov.uk/peoplepopulationandcommunity/populationandmigration/populationprojections</vt:lpwstr>
      </vt:variant>
      <vt:variant>
        <vt:lpwstr/>
      </vt:variant>
      <vt:variant>
        <vt:i4>4390986</vt:i4>
      </vt:variant>
      <vt:variant>
        <vt:i4>6</vt:i4>
      </vt:variant>
      <vt:variant>
        <vt:i4>0</vt:i4>
      </vt:variant>
      <vt:variant>
        <vt:i4>5</vt:i4>
      </vt:variant>
      <vt:variant>
        <vt:lpwstr>https://www.pansi.org.uk/</vt:lpwstr>
      </vt:variant>
      <vt:variant>
        <vt:lpwstr/>
      </vt:variant>
      <vt:variant>
        <vt:i4>5111892</vt:i4>
      </vt:variant>
      <vt:variant>
        <vt:i4>3</vt:i4>
      </vt:variant>
      <vt:variant>
        <vt:i4>0</vt:i4>
      </vt:variant>
      <vt:variant>
        <vt:i4>5</vt:i4>
      </vt:variant>
      <vt:variant>
        <vt:lpwstr>https://www.poppi.org.uk/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Adult Social Care Demand Management Pressures v1</dc:title>
  <dc:subject/>
  <dc:creator/>
  <cp:keywords/>
  <cp:lastModifiedBy/>
  <cp:revision>1</cp:revision>
  <dcterms:created xsi:type="dcterms:W3CDTF">2022-01-12T09:29:00Z</dcterms:created>
  <dcterms:modified xsi:type="dcterms:W3CDTF">2022-01-12T11:35:00Z</dcterms:modified>
</cp:coreProperties>
</file>